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C4243" w14:textId="77777777" w:rsidR="00BA6E56" w:rsidRPr="00447A30" w:rsidRDefault="00554813" w:rsidP="002C608E">
      <w:pPr>
        <w:spacing w:after="0"/>
        <w:jc w:val="center"/>
        <w:rPr>
          <w:rFonts w:asciiTheme="majorHAnsi" w:hAnsiTheme="majorHAnsi"/>
          <w:b/>
          <w:sz w:val="24"/>
          <w:szCs w:val="24"/>
          <w:lang w:val="en-US"/>
        </w:rPr>
      </w:pPr>
      <w:r w:rsidRPr="00447A30">
        <w:rPr>
          <w:rFonts w:asciiTheme="majorHAnsi" w:hAnsiTheme="majorHAnsi"/>
          <w:b/>
          <w:noProof/>
          <w:sz w:val="24"/>
          <w:szCs w:val="24"/>
          <w:lang w:val="en-US"/>
        </w:rPr>
        <w:drawing>
          <wp:inline distT="0" distB="0" distL="0" distR="0" wp14:anchorId="06721BD4" wp14:editId="62A24218">
            <wp:extent cx="1963738" cy="1174750"/>
            <wp:effectExtent l="0" t="0" r="0" b="6350"/>
            <wp:docPr id="20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738" cy="117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2B6E1B3" w14:textId="77777777" w:rsidR="00F15924" w:rsidRPr="00447A30" w:rsidRDefault="00611CAA" w:rsidP="002C5135">
      <w:pPr>
        <w:rPr>
          <w:rFonts w:asciiTheme="majorHAnsi" w:hAnsiTheme="majorHAnsi"/>
          <w:b/>
          <w:sz w:val="24"/>
          <w:szCs w:val="24"/>
          <w:lang w:val="en-US"/>
        </w:rPr>
      </w:pPr>
      <w:r w:rsidRPr="00447A30">
        <w:rPr>
          <w:rFonts w:asciiTheme="majorHAnsi" w:hAnsiTheme="majorHAnsi"/>
          <w:b/>
          <w:sz w:val="24"/>
          <w:szCs w:val="24"/>
          <w:lang w:val="en-US"/>
        </w:rPr>
        <w:t>Tax Justice Network</w:t>
      </w:r>
    </w:p>
    <w:p w14:paraId="7CFD764D" w14:textId="21B07A35" w:rsidR="00E92F4A" w:rsidRPr="00447A30" w:rsidRDefault="00434316" w:rsidP="00434316">
      <w:pPr>
        <w:rPr>
          <w:rFonts w:asciiTheme="majorHAnsi" w:hAnsiTheme="majorHAnsi"/>
          <w:sz w:val="24"/>
          <w:szCs w:val="24"/>
          <w:lang w:val="en-GB"/>
        </w:rPr>
      </w:pPr>
      <w:r w:rsidRPr="00447A30">
        <w:rPr>
          <w:rFonts w:asciiTheme="majorHAnsi" w:hAnsiTheme="majorHAnsi"/>
          <w:sz w:val="24"/>
          <w:szCs w:val="24"/>
          <w:lang w:val="en-GB"/>
        </w:rPr>
        <w:t xml:space="preserve">The </w:t>
      </w:r>
      <w:r w:rsidRPr="00447A30">
        <w:rPr>
          <w:rFonts w:asciiTheme="majorHAnsi" w:hAnsiTheme="majorHAnsi"/>
          <w:b/>
          <w:bCs/>
          <w:sz w:val="24"/>
          <w:szCs w:val="24"/>
          <w:lang w:val="en-GB"/>
        </w:rPr>
        <w:t>Tax Justice Network</w:t>
      </w:r>
      <w:r w:rsidRPr="00447A30">
        <w:rPr>
          <w:rFonts w:asciiTheme="majorHAnsi" w:hAnsiTheme="majorHAnsi"/>
          <w:sz w:val="24"/>
          <w:szCs w:val="24"/>
          <w:lang w:val="en-GB"/>
        </w:rPr>
        <w:t xml:space="preserve"> (</w:t>
      </w:r>
      <w:r w:rsidRPr="00447A30">
        <w:rPr>
          <w:rFonts w:asciiTheme="majorHAnsi" w:hAnsiTheme="majorHAnsi"/>
          <w:b/>
          <w:bCs/>
          <w:sz w:val="24"/>
          <w:szCs w:val="24"/>
          <w:lang w:val="en-GB"/>
        </w:rPr>
        <w:t>TJN</w:t>
      </w:r>
      <w:r w:rsidRPr="00447A30">
        <w:rPr>
          <w:rFonts w:asciiTheme="majorHAnsi" w:hAnsiTheme="majorHAnsi"/>
          <w:sz w:val="24"/>
          <w:szCs w:val="24"/>
          <w:lang w:val="en-GB"/>
        </w:rPr>
        <w:t>) is an independent, nonpartisan international network</w:t>
      </w:r>
      <w:r w:rsidR="00E92F4A" w:rsidRPr="00447A30">
        <w:rPr>
          <w:rFonts w:asciiTheme="majorHAnsi" w:hAnsiTheme="majorHAnsi"/>
          <w:sz w:val="24"/>
          <w:szCs w:val="24"/>
          <w:lang w:val="en-GB"/>
        </w:rPr>
        <w:t xml:space="preserve"> of academics, lawyers, accountants, journalists,</w:t>
      </w:r>
      <w:r w:rsidRPr="00447A30">
        <w:rPr>
          <w:rFonts w:asciiTheme="majorHAnsi" w:hAnsiTheme="majorHAnsi"/>
          <w:sz w:val="24"/>
          <w:szCs w:val="24"/>
          <w:lang w:val="en-GB"/>
        </w:rPr>
        <w:t xml:space="preserve"> </w:t>
      </w:r>
      <w:r w:rsidR="00E92F4A" w:rsidRPr="00447A30">
        <w:rPr>
          <w:rFonts w:asciiTheme="majorHAnsi" w:hAnsiTheme="majorHAnsi"/>
          <w:sz w:val="24"/>
          <w:szCs w:val="24"/>
          <w:lang w:val="en-GB"/>
        </w:rPr>
        <w:t xml:space="preserve">economists and activists </w:t>
      </w:r>
      <w:r w:rsidR="00D92173" w:rsidRPr="00447A30">
        <w:rPr>
          <w:rFonts w:asciiTheme="majorHAnsi" w:hAnsiTheme="majorHAnsi"/>
          <w:sz w:val="24"/>
          <w:szCs w:val="24"/>
          <w:lang w:val="en-GB"/>
        </w:rPr>
        <w:t xml:space="preserve"> launched in the British Houses of Parliament in 2003. The network is </w:t>
      </w:r>
      <w:r w:rsidR="00E92F4A" w:rsidRPr="00447A30">
        <w:rPr>
          <w:rFonts w:asciiTheme="majorHAnsi" w:hAnsiTheme="majorHAnsi"/>
          <w:sz w:val="24"/>
          <w:szCs w:val="24"/>
          <w:lang w:val="en-GB"/>
        </w:rPr>
        <w:t xml:space="preserve">opposed to </w:t>
      </w:r>
      <w:r w:rsidR="0048197C" w:rsidRPr="00447A30">
        <w:rPr>
          <w:rFonts w:asciiTheme="majorHAnsi" w:hAnsiTheme="majorHAnsi"/>
          <w:sz w:val="24"/>
          <w:szCs w:val="24"/>
          <w:lang w:val="en-GB"/>
        </w:rPr>
        <w:t>tax havens (or “</w:t>
      </w:r>
      <w:hyperlink r:id="rId10" w:history="1">
        <w:r w:rsidR="0048197C" w:rsidRPr="00447A30">
          <w:rPr>
            <w:rStyle w:val="Hyperlink"/>
            <w:rFonts w:asciiTheme="majorHAnsi" w:hAnsiTheme="majorHAnsi"/>
            <w:sz w:val="24"/>
            <w:szCs w:val="24"/>
            <w:lang w:val="en-GB"/>
          </w:rPr>
          <w:t>secrecy jurisdictions</w:t>
        </w:r>
      </w:hyperlink>
      <w:r w:rsidR="0048197C" w:rsidRPr="00447A30">
        <w:rPr>
          <w:rFonts w:asciiTheme="majorHAnsi" w:hAnsiTheme="majorHAnsi"/>
          <w:sz w:val="24"/>
          <w:szCs w:val="24"/>
          <w:lang w:val="en-GB"/>
        </w:rPr>
        <w:t>”)</w:t>
      </w:r>
      <w:r w:rsidR="00E92F4A" w:rsidRPr="00447A30">
        <w:rPr>
          <w:rFonts w:asciiTheme="majorHAnsi" w:hAnsiTheme="majorHAnsi"/>
          <w:sz w:val="24"/>
          <w:szCs w:val="24"/>
          <w:lang w:val="en-GB"/>
        </w:rPr>
        <w:t>;</w:t>
      </w:r>
      <w:r w:rsidR="0048197C" w:rsidRPr="00447A30">
        <w:rPr>
          <w:rFonts w:asciiTheme="majorHAnsi" w:hAnsiTheme="majorHAnsi"/>
          <w:sz w:val="24"/>
          <w:szCs w:val="24"/>
          <w:lang w:val="en-GB"/>
        </w:rPr>
        <w:t xml:space="preserve"> </w:t>
      </w:r>
      <w:r w:rsidR="00FF5D92" w:rsidRPr="00447A30">
        <w:rPr>
          <w:rFonts w:asciiTheme="majorHAnsi" w:hAnsiTheme="majorHAnsi"/>
          <w:sz w:val="24"/>
          <w:szCs w:val="24"/>
          <w:lang w:val="en-GB"/>
        </w:rPr>
        <w:t xml:space="preserve">financial secrecy; </w:t>
      </w:r>
      <w:r w:rsidRPr="00447A30">
        <w:rPr>
          <w:rFonts w:asciiTheme="majorHAnsi" w:hAnsiTheme="majorHAnsi"/>
          <w:sz w:val="24"/>
          <w:szCs w:val="24"/>
          <w:lang w:val="en-GB"/>
        </w:rPr>
        <w:t>tax evasion</w:t>
      </w:r>
      <w:r w:rsidR="0048197C" w:rsidRPr="00447A30">
        <w:rPr>
          <w:rFonts w:asciiTheme="majorHAnsi" w:hAnsiTheme="majorHAnsi"/>
          <w:sz w:val="24"/>
          <w:szCs w:val="24"/>
          <w:lang w:val="en-GB"/>
        </w:rPr>
        <w:t xml:space="preserve"> and avoidance;</w:t>
      </w:r>
      <w:r w:rsidRPr="00447A30">
        <w:rPr>
          <w:rFonts w:asciiTheme="majorHAnsi" w:hAnsiTheme="majorHAnsi"/>
          <w:sz w:val="24"/>
          <w:szCs w:val="24"/>
          <w:lang w:val="en-GB"/>
        </w:rPr>
        <w:t xml:space="preserve"> tax </w:t>
      </w:r>
      <w:r w:rsidR="00D92173" w:rsidRPr="00447A30">
        <w:rPr>
          <w:rFonts w:asciiTheme="majorHAnsi" w:hAnsiTheme="majorHAnsi"/>
          <w:sz w:val="24"/>
          <w:szCs w:val="24"/>
          <w:lang w:val="en-GB"/>
        </w:rPr>
        <w:t>‘</w:t>
      </w:r>
      <w:r w:rsidRPr="00447A30">
        <w:rPr>
          <w:rFonts w:asciiTheme="majorHAnsi" w:hAnsiTheme="majorHAnsi"/>
          <w:sz w:val="24"/>
          <w:szCs w:val="24"/>
          <w:lang w:val="en-GB"/>
        </w:rPr>
        <w:t>competition</w:t>
      </w:r>
      <w:r w:rsidR="00D92173" w:rsidRPr="00447A30">
        <w:rPr>
          <w:rFonts w:asciiTheme="majorHAnsi" w:hAnsiTheme="majorHAnsi"/>
          <w:sz w:val="24"/>
          <w:szCs w:val="24"/>
          <w:lang w:val="en-GB"/>
        </w:rPr>
        <w:t>’</w:t>
      </w:r>
      <w:r w:rsidR="0048197C" w:rsidRPr="00447A30">
        <w:rPr>
          <w:rFonts w:asciiTheme="majorHAnsi" w:hAnsiTheme="majorHAnsi"/>
          <w:sz w:val="24"/>
          <w:szCs w:val="24"/>
          <w:lang w:val="en-GB"/>
        </w:rPr>
        <w:t xml:space="preserve"> (or “</w:t>
      </w:r>
      <w:hyperlink r:id="rId11" w:history="1">
        <w:r w:rsidR="0048197C" w:rsidRPr="00447A30">
          <w:rPr>
            <w:rStyle w:val="Hyperlink"/>
            <w:rFonts w:asciiTheme="majorHAnsi" w:hAnsiTheme="majorHAnsi"/>
            <w:sz w:val="24"/>
            <w:szCs w:val="24"/>
            <w:lang w:val="en-GB"/>
          </w:rPr>
          <w:t>tax wars</w:t>
        </w:r>
      </w:hyperlink>
      <w:r w:rsidR="0048197C" w:rsidRPr="00447A30">
        <w:rPr>
          <w:rFonts w:asciiTheme="majorHAnsi" w:hAnsiTheme="majorHAnsi"/>
          <w:sz w:val="24"/>
          <w:szCs w:val="24"/>
          <w:lang w:val="en-GB"/>
        </w:rPr>
        <w:t>”);</w:t>
      </w:r>
      <w:r w:rsidRPr="00447A30">
        <w:rPr>
          <w:rFonts w:asciiTheme="majorHAnsi" w:hAnsiTheme="majorHAnsi"/>
          <w:sz w:val="24"/>
          <w:szCs w:val="24"/>
          <w:lang w:val="en-GB"/>
        </w:rPr>
        <w:t xml:space="preserve"> </w:t>
      </w:r>
      <w:r w:rsidR="00FF5D92" w:rsidRPr="00447A30">
        <w:rPr>
          <w:rFonts w:asciiTheme="majorHAnsi" w:hAnsiTheme="majorHAnsi"/>
          <w:sz w:val="24"/>
          <w:szCs w:val="24"/>
          <w:lang w:val="en-GB"/>
        </w:rPr>
        <w:t xml:space="preserve">and </w:t>
      </w:r>
      <w:r w:rsidR="00E76A01" w:rsidRPr="00447A30">
        <w:rPr>
          <w:rFonts w:asciiTheme="majorHAnsi" w:hAnsiTheme="majorHAnsi"/>
          <w:sz w:val="24"/>
          <w:szCs w:val="24"/>
          <w:lang w:val="en-GB"/>
        </w:rPr>
        <w:t>illicit financial flows</w:t>
      </w:r>
      <w:r w:rsidRPr="00447A30">
        <w:rPr>
          <w:rFonts w:asciiTheme="majorHAnsi" w:hAnsiTheme="majorHAnsi"/>
          <w:sz w:val="24"/>
          <w:szCs w:val="24"/>
          <w:lang w:val="en-GB"/>
        </w:rPr>
        <w:t xml:space="preserve"> and </w:t>
      </w:r>
      <w:r w:rsidR="0048197C" w:rsidRPr="00447A30">
        <w:rPr>
          <w:rFonts w:asciiTheme="majorHAnsi" w:hAnsiTheme="majorHAnsi"/>
          <w:sz w:val="24"/>
          <w:szCs w:val="24"/>
          <w:lang w:val="en-GB"/>
        </w:rPr>
        <w:t>capital flight</w:t>
      </w:r>
      <w:r w:rsidR="00E92F4A" w:rsidRPr="00447A30">
        <w:rPr>
          <w:rFonts w:asciiTheme="majorHAnsi" w:hAnsiTheme="majorHAnsi"/>
          <w:sz w:val="24"/>
          <w:szCs w:val="24"/>
          <w:lang w:val="en-GB"/>
        </w:rPr>
        <w:t>.</w:t>
      </w:r>
      <w:r w:rsidRPr="00447A30">
        <w:rPr>
          <w:rFonts w:asciiTheme="majorHAnsi" w:hAnsiTheme="majorHAnsi"/>
          <w:sz w:val="24"/>
          <w:szCs w:val="24"/>
          <w:lang w:val="en-GB"/>
        </w:rPr>
        <w:t xml:space="preserve"> </w:t>
      </w:r>
      <w:r w:rsidR="00447A30" w:rsidRPr="00447A30">
        <w:rPr>
          <w:rFonts w:asciiTheme="majorHAnsi" w:hAnsiTheme="majorHAnsi"/>
          <w:sz w:val="24"/>
          <w:szCs w:val="24"/>
          <w:lang w:val="en-GB"/>
        </w:rPr>
        <w:t>Despite the term ‘tax justice’ i</w:t>
      </w:r>
      <w:r w:rsidR="00D92173" w:rsidRPr="00447A30">
        <w:rPr>
          <w:rFonts w:asciiTheme="majorHAnsi" w:hAnsiTheme="majorHAnsi"/>
          <w:sz w:val="24"/>
          <w:szCs w:val="24"/>
          <w:lang w:val="en-GB"/>
        </w:rPr>
        <w:t xml:space="preserve">ts core area of focus extends far beyond tax to other aspects of financial globalisation such as financial regulatory competition between jurisdictions, and the political economy of tax havens. </w:t>
      </w:r>
      <w:r w:rsidR="00793498" w:rsidRPr="00447A30">
        <w:rPr>
          <w:rFonts w:asciiTheme="majorHAnsi" w:hAnsiTheme="majorHAnsi"/>
          <w:sz w:val="24"/>
          <w:szCs w:val="24"/>
          <w:lang w:val="en-GB"/>
        </w:rPr>
        <w:t xml:space="preserve">The network’s </w:t>
      </w:r>
      <w:r w:rsidR="00E92F4A" w:rsidRPr="00447A30">
        <w:rPr>
          <w:rFonts w:asciiTheme="majorHAnsi" w:hAnsiTheme="majorHAnsi"/>
          <w:sz w:val="24"/>
          <w:szCs w:val="24"/>
          <w:lang w:val="en-GB"/>
        </w:rPr>
        <w:t xml:space="preserve">declared aim is to raise </w:t>
      </w:r>
      <w:r w:rsidRPr="00447A30">
        <w:rPr>
          <w:rFonts w:asciiTheme="majorHAnsi" w:hAnsiTheme="majorHAnsi"/>
          <w:sz w:val="24"/>
          <w:szCs w:val="24"/>
          <w:lang w:val="en-GB"/>
        </w:rPr>
        <w:t xml:space="preserve">awareness </w:t>
      </w:r>
      <w:r w:rsidR="00D92173" w:rsidRPr="00447A30">
        <w:rPr>
          <w:rFonts w:asciiTheme="majorHAnsi" w:hAnsiTheme="majorHAnsi"/>
          <w:sz w:val="24"/>
          <w:szCs w:val="24"/>
          <w:lang w:val="en-GB"/>
        </w:rPr>
        <w:t xml:space="preserve">and understanding </w:t>
      </w:r>
      <w:r w:rsidR="00E92F4A" w:rsidRPr="00447A30">
        <w:rPr>
          <w:rFonts w:asciiTheme="majorHAnsi" w:hAnsiTheme="majorHAnsi"/>
          <w:sz w:val="24"/>
          <w:szCs w:val="24"/>
          <w:lang w:val="en-GB"/>
        </w:rPr>
        <w:t xml:space="preserve">of </w:t>
      </w:r>
      <w:r w:rsidR="00D92173" w:rsidRPr="00447A30">
        <w:rPr>
          <w:rFonts w:asciiTheme="majorHAnsi" w:hAnsiTheme="majorHAnsi"/>
          <w:sz w:val="24"/>
          <w:szCs w:val="24"/>
          <w:lang w:val="en-GB"/>
        </w:rPr>
        <w:t xml:space="preserve">the </w:t>
      </w:r>
      <w:r w:rsidR="00E92F4A" w:rsidRPr="00447A30">
        <w:rPr>
          <w:rFonts w:asciiTheme="majorHAnsi" w:hAnsiTheme="majorHAnsi"/>
          <w:sz w:val="24"/>
          <w:szCs w:val="24"/>
          <w:lang w:val="en-GB"/>
        </w:rPr>
        <w:t xml:space="preserve">issues </w:t>
      </w:r>
      <w:r w:rsidRPr="00447A30">
        <w:rPr>
          <w:rFonts w:asciiTheme="majorHAnsi" w:hAnsiTheme="majorHAnsi"/>
          <w:sz w:val="24"/>
          <w:szCs w:val="24"/>
          <w:lang w:val="en-GB"/>
        </w:rPr>
        <w:t xml:space="preserve">and </w:t>
      </w:r>
      <w:r w:rsidR="00E92F4A" w:rsidRPr="00447A30">
        <w:rPr>
          <w:rFonts w:asciiTheme="majorHAnsi" w:hAnsiTheme="majorHAnsi"/>
          <w:sz w:val="24"/>
          <w:szCs w:val="24"/>
          <w:lang w:val="en-GB"/>
        </w:rPr>
        <w:t xml:space="preserve">to </w:t>
      </w:r>
      <w:r w:rsidR="00D92173" w:rsidRPr="00447A30">
        <w:rPr>
          <w:rFonts w:asciiTheme="majorHAnsi" w:hAnsiTheme="majorHAnsi"/>
          <w:sz w:val="24"/>
          <w:szCs w:val="24"/>
          <w:lang w:val="en-GB"/>
        </w:rPr>
        <w:t xml:space="preserve">offer and </w:t>
      </w:r>
      <w:r w:rsidRPr="00447A30">
        <w:rPr>
          <w:rFonts w:asciiTheme="majorHAnsi" w:hAnsiTheme="majorHAnsi"/>
          <w:sz w:val="24"/>
          <w:szCs w:val="24"/>
          <w:lang w:val="en-GB"/>
        </w:rPr>
        <w:t xml:space="preserve">promote policy solutions. </w:t>
      </w:r>
      <w:r w:rsidR="00E92F4A" w:rsidRPr="00447A30">
        <w:rPr>
          <w:rFonts w:asciiTheme="majorHAnsi" w:hAnsiTheme="majorHAnsi"/>
          <w:sz w:val="24"/>
          <w:szCs w:val="24"/>
          <w:lang w:val="en-GB"/>
        </w:rPr>
        <w:t>It</w:t>
      </w:r>
      <w:r w:rsidR="00793498" w:rsidRPr="00447A30">
        <w:rPr>
          <w:rFonts w:asciiTheme="majorHAnsi" w:hAnsiTheme="majorHAnsi"/>
          <w:sz w:val="24"/>
          <w:szCs w:val="24"/>
          <w:lang w:val="en-GB"/>
        </w:rPr>
        <w:t xml:space="preserve"> was set up in 2003 </w:t>
      </w:r>
      <w:r w:rsidR="00FF5D92" w:rsidRPr="00447A30">
        <w:rPr>
          <w:rFonts w:asciiTheme="majorHAnsi" w:hAnsiTheme="majorHAnsi"/>
          <w:sz w:val="24"/>
          <w:szCs w:val="24"/>
          <w:lang w:val="en-GB"/>
        </w:rPr>
        <w:t xml:space="preserve">with </w:t>
      </w:r>
      <w:r w:rsidR="00793498" w:rsidRPr="00447A30">
        <w:rPr>
          <w:rFonts w:asciiTheme="majorHAnsi" w:hAnsiTheme="majorHAnsi"/>
          <w:sz w:val="24"/>
          <w:szCs w:val="24"/>
          <w:lang w:val="en-GB"/>
        </w:rPr>
        <w:t>its</w:t>
      </w:r>
      <w:r w:rsidR="00E92F4A" w:rsidRPr="00447A30">
        <w:rPr>
          <w:rFonts w:asciiTheme="majorHAnsi" w:hAnsiTheme="majorHAnsi"/>
          <w:sz w:val="24"/>
          <w:szCs w:val="24"/>
          <w:lang w:val="en-GB"/>
        </w:rPr>
        <w:t xml:space="preserve"> headquarters in Chesham, </w:t>
      </w:r>
      <w:r w:rsidR="00FF5D92" w:rsidRPr="00447A30">
        <w:rPr>
          <w:rFonts w:asciiTheme="majorHAnsi" w:hAnsiTheme="majorHAnsi"/>
          <w:sz w:val="24"/>
          <w:szCs w:val="24"/>
          <w:lang w:val="en-GB"/>
        </w:rPr>
        <w:t>England</w:t>
      </w:r>
      <w:r w:rsidR="00A475BF" w:rsidRPr="00447A30">
        <w:rPr>
          <w:rFonts w:asciiTheme="majorHAnsi" w:hAnsiTheme="majorHAnsi"/>
          <w:sz w:val="24"/>
          <w:szCs w:val="24"/>
          <w:lang w:val="en-GB"/>
        </w:rPr>
        <w:t xml:space="preserve"> but with staff members and associates in many different countries</w:t>
      </w:r>
      <w:r w:rsidR="00E92F4A" w:rsidRPr="00447A30">
        <w:rPr>
          <w:rFonts w:asciiTheme="majorHAnsi" w:hAnsiTheme="majorHAnsi"/>
          <w:sz w:val="24"/>
          <w:szCs w:val="24"/>
          <w:lang w:val="en-GB"/>
        </w:rPr>
        <w:t>.</w:t>
      </w:r>
      <w:r w:rsidR="00793498" w:rsidRPr="00447A30">
        <w:rPr>
          <w:rFonts w:asciiTheme="majorHAnsi" w:hAnsiTheme="majorHAnsi"/>
          <w:sz w:val="24"/>
          <w:szCs w:val="24"/>
          <w:lang w:val="en-GB"/>
        </w:rPr>
        <w:t xml:space="preserve"> Its Executive Director is John Christensen.</w:t>
      </w:r>
      <w:r w:rsidR="00E92F4A" w:rsidRPr="00447A30">
        <w:rPr>
          <w:rFonts w:asciiTheme="majorHAnsi" w:hAnsiTheme="majorHAnsi"/>
          <w:sz w:val="24"/>
          <w:szCs w:val="24"/>
          <w:lang w:val="en-GB"/>
        </w:rPr>
        <w:t xml:space="preserve"> </w:t>
      </w:r>
    </w:p>
    <w:p w14:paraId="64403C07" w14:textId="556289FF" w:rsidR="00E92F4A" w:rsidRPr="00447A30" w:rsidRDefault="00F04950" w:rsidP="00E92F4A">
      <w:pPr>
        <w:rPr>
          <w:rFonts w:asciiTheme="majorHAnsi" w:hAnsiTheme="majorHAnsi"/>
          <w:b/>
          <w:sz w:val="24"/>
          <w:szCs w:val="24"/>
          <w:lang w:val="en-US"/>
        </w:rPr>
      </w:pPr>
      <w:r w:rsidRPr="00447A30">
        <w:rPr>
          <w:rFonts w:asciiTheme="majorHAnsi" w:hAnsiTheme="majorHAnsi"/>
          <w:b/>
          <w:sz w:val="24"/>
          <w:szCs w:val="24"/>
          <w:lang w:val="en-US"/>
        </w:rPr>
        <w:t>O</w:t>
      </w:r>
      <w:r w:rsidR="00E92F4A" w:rsidRPr="00447A30">
        <w:rPr>
          <w:rFonts w:asciiTheme="majorHAnsi" w:hAnsiTheme="majorHAnsi"/>
          <w:b/>
          <w:sz w:val="24"/>
          <w:szCs w:val="24"/>
          <w:lang w:val="en-US"/>
        </w:rPr>
        <w:t>rganisation</w:t>
      </w:r>
      <w:r w:rsidR="00447A30" w:rsidRPr="00447A30">
        <w:rPr>
          <w:rFonts w:asciiTheme="majorHAnsi" w:hAnsiTheme="majorHAnsi"/>
          <w:b/>
          <w:sz w:val="24"/>
          <w:szCs w:val="24"/>
          <w:lang w:val="en-US"/>
        </w:rPr>
        <w:t>al structure</w:t>
      </w:r>
      <w:r w:rsidRPr="00447A30">
        <w:rPr>
          <w:rFonts w:asciiTheme="majorHAnsi" w:hAnsiTheme="majorHAnsi"/>
          <w:b/>
          <w:sz w:val="24"/>
          <w:szCs w:val="24"/>
          <w:lang w:val="en-US"/>
        </w:rPr>
        <w:t xml:space="preserve"> and methods</w:t>
      </w:r>
    </w:p>
    <w:p w14:paraId="4054ED14" w14:textId="47A9766F" w:rsidR="00447A30" w:rsidRPr="00447A30" w:rsidRDefault="00E92F4A" w:rsidP="00E92F4A">
      <w:pPr>
        <w:rPr>
          <w:rFonts w:asciiTheme="majorHAnsi" w:hAnsiTheme="majorHAnsi"/>
          <w:sz w:val="24"/>
          <w:szCs w:val="24"/>
          <w:lang w:val="en-GB"/>
        </w:rPr>
      </w:pPr>
      <w:r w:rsidRPr="00447A30">
        <w:rPr>
          <w:rFonts w:asciiTheme="majorHAnsi" w:hAnsiTheme="majorHAnsi"/>
          <w:sz w:val="24"/>
          <w:szCs w:val="24"/>
          <w:lang w:val="en-GB"/>
        </w:rPr>
        <w:t xml:space="preserve">The </w:t>
      </w:r>
      <w:r w:rsidR="00D92173" w:rsidRPr="00447A30">
        <w:rPr>
          <w:rFonts w:asciiTheme="majorHAnsi" w:hAnsiTheme="majorHAnsi"/>
          <w:sz w:val="24"/>
          <w:szCs w:val="24"/>
          <w:lang w:val="en-GB"/>
        </w:rPr>
        <w:t xml:space="preserve">network </w:t>
      </w:r>
      <w:r w:rsidRPr="00447A30">
        <w:rPr>
          <w:rFonts w:asciiTheme="majorHAnsi" w:hAnsiTheme="majorHAnsi"/>
          <w:sz w:val="24"/>
          <w:szCs w:val="24"/>
          <w:lang w:val="en-GB"/>
        </w:rPr>
        <w:t xml:space="preserve">focuses on research and advocacy; campaigning work is carried out by the </w:t>
      </w:r>
      <w:hyperlink r:id="rId12" w:history="1">
        <w:r w:rsidRPr="00447A30">
          <w:rPr>
            <w:rStyle w:val="Hyperlink"/>
            <w:rFonts w:asciiTheme="majorHAnsi" w:hAnsiTheme="majorHAnsi"/>
            <w:sz w:val="24"/>
            <w:szCs w:val="24"/>
            <w:lang w:val="en-GB"/>
          </w:rPr>
          <w:t>Global Alliance for Tax Justice</w:t>
        </w:r>
      </w:hyperlink>
      <w:r w:rsidRPr="00447A30">
        <w:rPr>
          <w:rFonts w:asciiTheme="majorHAnsi" w:hAnsiTheme="majorHAnsi"/>
          <w:sz w:val="24"/>
          <w:szCs w:val="24"/>
          <w:lang w:val="en-GB"/>
        </w:rPr>
        <w:t xml:space="preserve"> (GATJ), a separate sister organisation that emerged out of the Tax Justice Network in 2013. </w:t>
      </w:r>
      <w:r w:rsidR="00447A30" w:rsidRPr="00447A30">
        <w:rPr>
          <w:rFonts w:asciiTheme="majorHAnsi" w:hAnsiTheme="majorHAnsi"/>
          <w:sz w:val="24"/>
          <w:szCs w:val="24"/>
          <w:lang w:val="en-GB"/>
        </w:rPr>
        <w:t xml:space="preserve">The Tax Justice Network is also a member of the Financial Transparency Coalition, an umbrella funding and advocacy body that operates in the field of tax justice.  </w:t>
      </w:r>
      <w:r w:rsidR="00F04950" w:rsidRPr="00447A30">
        <w:rPr>
          <w:rFonts w:asciiTheme="majorHAnsi" w:hAnsiTheme="majorHAnsi"/>
          <w:sz w:val="24"/>
          <w:szCs w:val="24"/>
          <w:lang w:val="en-GB"/>
        </w:rPr>
        <w:t>The Tax Justice Network itself has fewer than ten staff members but it is supported by a wider network of Senior Advisers and others</w:t>
      </w:r>
      <w:r w:rsidR="000E720A" w:rsidRPr="00447A30">
        <w:rPr>
          <w:rFonts w:asciiTheme="majorHAnsi" w:hAnsiTheme="majorHAnsi"/>
          <w:sz w:val="24"/>
          <w:szCs w:val="24"/>
          <w:lang w:val="en-GB"/>
        </w:rPr>
        <w:t xml:space="preserve"> </w:t>
      </w:r>
      <w:r w:rsidR="00F04950" w:rsidRPr="00447A30">
        <w:rPr>
          <w:rFonts w:asciiTheme="majorHAnsi" w:hAnsiTheme="majorHAnsi"/>
          <w:sz w:val="24"/>
          <w:szCs w:val="24"/>
          <w:lang w:val="en-GB"/>
        </w:rPr>
        <w:t>in academic, professional</w:t>
      </w:r>
      <w:r w:rsidR="000E720A" w:rsidRPr="00447A30">
        <w:rPr>
          <w:rFonts w:asciiTheme="majorHAnsi" w:hAnsiTheme="majorHAnsi"/>
          <w:sz w:val="24"/>
          <w:szCs w:val="24"/>
          <w:lang w:val="en-GB"/>
        </w:rPr>
        <w:t>, media</w:t>
      </w:r>
      <w:r w:rsidR="00F04950" w:rsidRPr="00447A30">
        <w:rPr>
          <w:rFonts w:asciiTheme="majorHAnsi" w:hAnsiTheme="majorHAnsi"/>
          <w:sz w:val="24"/>
          <w:szCs w:val="24"/>
          <w:lang w:val="en-GB"/>
        </w:rPr>
        <w:t xml:space="preserve"> and non-governmental organisations. </w:t>
      </w:r>
    </w:p>
    <w:p w14:paraId="2AE8040E" w14:textId="0994F353" w:rsidR="00A475BF" w:rsidRPr="00447A30" w:rsidRDefault="00567D65" w:rsidP="00E92F4A">
      <w:pPr>
        <w:rPr>
          <w:rFonts w:asciiTheme="majorHAnsi" w:hAnsiTheme="majorHAnsi"/>
          <w:sz w:val="24"/>
          <w:szCs w:val="24"/>
          <w:lang w:val="en-GB"/>
        </w:rPr>
      </w:pPr>
      <w:r w:rsidRPr="00447A30">
        <w:rPr>
          <w:rFonts w:asciiTheme="majorHAnsi" w:hAnsiTheme="majorHAnsi"/>
          <w:sz w:val="24"/>
          <w:szCs w:val="24"/>
          <w:lang w:val="en-GB"/>
        </w:rPr>
        <w:t xml:space="preserve">Its </w:t>
      </w:r>
      <w:r w:rsidR="00A475BF" w:rsidRPr="00447A30">
        <w:rPr>
          <w:rFonts w:asciiTheme="majorHAnsi" w:hAnsiTheme="majorHAnsi"/>
          <w:sz w:val="24"/>
          <w:szCs w:val="24"/>
          <w:lang w:val="en-GB"/>
        </w:rPr>
        <w:t xml:space="preserve">cross-disciplinary and cross-border organisational structure has contributed to TJN’s </w:t>
      </w:r>
      <w:r w:rsidRPr="00447A30">
        <w:rPr>
          <w:rFonts w:asciiTheme="majorHAnsi" w:hAnsiTheme="majorHAnsi"/>
          <w:sz w:val="24"/>
          <w:szCs w:val="24"/>
          <w:lang w:val="en-GB"/>
        </w:rPr>
        <w:t xml:space="preserve">ability to create new analyses of financial globalisation through cross-pollenation between </w:t>
      </w:r>
      <w:r w:rsidR="00EF7BE2" w:rsidRPr="00447A30">
        <w:rPr>
          <w:rFonts w:asciiTheme="majorHAnsi" w:hAnsiTheme="majorHAnsi"/>
          <w:sz w:val="24"/>
          <w:szCs w:val="24"/>
          <w:lang w:val="en-GB"/>
        </w:rPr>
        <w:t xml:space="preserve">separate </w:t>
      </w:r>
      <w:r w:rsidRPr="00447A30">
        <w:rPr>
          <w:rFonts w:asciiTheme="majorHAnsi" w:hAnsiTheme="majorHAnsi"/>
          <w:sz w:val="24"/>
          <w:szCs w:val="24"/>
          <w:lang w:val="en-GB"/>
        </w:rPr>
        <w:t>academic and professional ‘silos</w:t>
      </w:r>
      <w:r w:rsidR="00EF7BE2" w:rsidRPr="00447A30">
        <w:rPr>
          <w:rFonts w:asciiTheme="majorHAnsi" w:hAnsiTheme="majorHAnsi"/>
          <w:sz w:val="24"/>
          <w:szCs w:val="24"/>
          <w:lang w:val="en-GB"/>
        </w:rPr>
        <w:t>,</w:t>
      </w:r>
      <w:r w:rsidRPr="00447A30">
        <w:rPr>
          <w:rFonts w:asciiTheme="majorHAnsi" w:hAnsiTheme="majorHAnsi"/>
          <w:sz w:val="24"/>
          <w:szCs w:val="24"/>
          <w:lang w:val="en-GB"/>
        </w:rPr>
        <w:t>’</w:t>
      </w:r>
      <w:r w:rsidR="00EF7BE2" w:rsidRPr="00447A30">
        <w:rPr>
          <w:rFonts w:asciiTheme="majorHAnsi" w:hAnsiTheme="majorHAnsi"/>
          <w:sz w:val="24"/>
          <w:szCs w:val="24"/>
          <w:lang w:val="en-GB"/>
        </w:rPr>
        <w:t xml:space="preserve"> and enabled it to enter and influence policy fields that had previously been the preserve of small numbers of technocrats because of the technical complexity involved.</w:t>
      </w:r>
      <w:r w:rsidR="005202FD">
        <w:rPr>
          <w:rFonts w:asciiTheme="majorHAnsi" w:hAnsiTheme="majorHAnsi"/>
          <w:sz w:val="24"/>
          <w:szCs w:val="24"/>
          <w:lang w:val="en-GB"/>
        </w:rPr>
        <w:t xml:space="preserve"> Detailed technical research reports are complemented by a range of less technical materials aimed at a broader public.</w:t>
      </w:r>
      <w:r w:rsidR="005202FD">
        <w:rPr>
          <w:rStyle w:val="EndnoteReference"/>
          <w:rFonts w:asciiTheme="majorHAnsi" w:hAnsiTheme="majorHAnsi"/>
          <w:sz w:val="24"/>
          <w:szCs w:val="24"/>
          <w:lang w:val="en-GB"/>
        </w:rPr>
        <w:endnoteReference w:id="1"/>
      </w:r>
      <w:r w:rsidR="005202FD">
        <w:rPr>
          <w:rFonts w:asciiTheme="majorHAnsi" w:hAnsiTheme="majorHAnsi"/>
          <w:sz w:val="24"/>
          <w:szCs w:val="24"/>
          <w:lang w:val="en-GB"/>
        </w:rPr>
        <w:t xml:space="preserve"> </w:t>
      </w:r>
    </w:p>
    <w:p w14:paraId="29DF4691" w14:textId="580FA646" w:rsidR="00833F7D" w:rsidRPr="00447A30" w:rsidRDefault="000E720A" w:rsidP="00E92F4A">
      <w:pPr>
        <w:rPr>
          <w:rFonts w:asciiTheme="majorHAnsi" w:hAnsiTheme="majorHAnsi"/>
          <w:sz w:val="24"/>
          <w:szCs w:val="24"/>
          <w:lang w:val="en-GB"/>
        </w:rPr>
      </w:pPr>
      <w:r w:rsidRPr="00447A30">
        <w:rPr>
          <w:rFonts w:asciiTheme="majorHAnsi" w:hAnsiTheme="majorHAnsi"/>
          <w:sz w:val="24"/>
          <w:szCs w:val="24"/>
          <w:lang w:val="en-GB"/>
        </w:rPr>
        <w:t xml:space="preserve">In some cases </w:t>
      </w:r>
      <w:r w:rsidR="00EF7BE2" w:rsidRPr="00447A30">
        <w:rPr>
          <w:rFonts w:asciiTheme="majorHAnsi" w:hAnsiTheme="majorHAnsi"/>
          <w:sz w:val="24"/>
          <w:szCs w:val="24"/>
          <w:lang w:val="en-GB"/>
        </w:rPr>
        <w:t xml:space="preserve">TJN </w:t>
      </w:r>
      <w:r w:rsidRPr="00447A30">
        <w:rPr>
          <w:rFonts w:asciiTheme="majorHAnsi" w:hAnsiTheme="majorHAnsi"/>
          <w:sz w:val="24"/>
          <w:szCs w:val="24"/>
          <w:lang w:val="en-GB"/>
        </w:rPr>
        <w:t xml:space="preserve">has acted </w:t>
      </w:r>
      <w:r w:rsidR="00A475BF" w:rsidRPr="00447A30">
        <w:rPr>
          <w:rFonts w:asciiTheme="majorHAnsi" w:hAnsiTheme="majorHAnsi"/>
          <w:sz w:val="24"/>
          <w:szCs w:val="24"/>
          <w:lang w:val="en-GB"/>
        </w:rPr>
        <w:t xml:space="preserve">more </w:t>
      </w:r>
      <w:r w:rsidRPr="00447A30">
        <w:rPr>
          <w:rFonts w:asciiTheme="majorHAnsi" w:hAnsiTheme="majorHAnsi"/>
          <w:sz w:val="24"/>
          <w:szCs w:val="24"/>
          <w:lang w:val="en-GB"/>
        </w:rPr>
        <w:t>like a start-up, creating or helping create and support new bodies (such as the Finance Uncovered journalism programme</w:t>
      </w:r>
      <w:r w:rsidRPr="00447A30">
        <w:rPr>
          <w:rStyle w:val="EndnoteReference"/>
          <w:rFonts w:asciiTheme="majorHAnsi" w:hAnsiTheme="majorHAnsi"/>
          <w:sz w:val="24"/>
          <w:szCs w:val="24"/>
          <w:lang w:val="en-GB"/>
        </w:rPr>
        <w:endnoteReference w:id="2"/>
      </w:r>
      <w:r w:rsidRPr="00447A30">
        <w:rPr>
          <w:rFonts w:asciiTheme="majorHAnsi" w:hAnsiTheme="majorHAnsi"/>
          <w:sz w:val="24"/>
          <w:szCs w:val="24"/>
          <w:lang w:val="en-GB"/>
        </w:rPr>
        <w:t xml:space="preserve"> or the Fair Tax Mark</w:t>
      </w:r>
      <w:r w:rsidR="00A475BF" w:rsidRPr="00447A30">
        <w:rPr>
          <w:rStyle w:val="EndnoteReference"/>
          <w:rFonts w:asciiTheme="majorHAnsi" w:hAnsiTheme="majorHAnsi"/>
          <w:sz w:val="24"/>
          <w:szCs w:val="24"/>
          <w:lang w:val="en-GB"/>
        </w:rPr>
        <w:endnoteReference w:id="3"/>
      </w:r>
      <w:r w:rsidRPr="00447A30">
        <w:rPr>
          <w:rFonts w:asciiTheme="majorHAnsi" w:hAnsiTheme="majorHAnsi"/>
          <w:sz w:val="24"/>
          <w:szCs w:val="24"/>
          <w:lang w:val="en-GB"/>
        </w:rPr>
        <w:t>) which have subsequently become independent</w:t>
      </w:r>
      <w:r w:rsidR="00A475BF" w:rsidRPr="00447A30">
        <w:rPr>
          <w:rFonts w:asciiTheme="majorHAnsi" w:hAnsiTheme="majorHAnsi"/>
          <w:sz w:val="24"/>
          <w:szCs w:val="24"/>
          <w:lang w:val="en-GB"/>
        </w:rPr>
        <w:t xml:space="preserve"> or are becoming independent bodies with their own funding sources</w:t>
      </w:r>
      <w:r w:rsidRPr="00447A30">
        <w:rPr>
          <w:rFonts w:asciiTheme="majorHAnsi" w:hAnsiTheme="majorHAnsi"/>
          <w:sz w:val="24"/>
          <w:szCs w:val="24"/>
          <w:lang w:val="en-GB"/>
        </w:rPr>
        <w:t xml:space="preserve">. </w:t>
      </w:r>
      <w:r w:rsidR="00EF7BE2" w:rsidRPr="00447A30">
        <w:rPr>
          <w:rFonts w:asciiTheme="majorHAnsi" w:hAnsiTheme="majorHAnsi"/>
          <w:sz w:val="24"/>
          <w:szCs w:val="24"/>
          <w:lang w:val="en-GB"/>
        </w:rPr>
        <w:t>Leonard Seabrooke and Duncan Wigan of Copenhagen Business School have described them as ‘issue entrepreneurs’ engaged in ‘identity switching’ allowing them to speak to different audiences on different levels:</w:t>
      </w:r>
    </w:p>
    <w:p w14:paraId="2DC20D9E" w14:textId="0616BD93" w:rsidR="00EF7BE2" w:rsidRPr="00447A30" w:rsidRDefault="00EF7BE2" w:rsidP="00EF7BE2">
      <w:pPr>
        <w:widowControl w:val="0"/>
        <w:autoSpaceDE w:val="0"/>
        <w:autoSpaceDN w:val="0"/>
        <w:adjustRightInd w:val="0"/>
        <w:spacing w:after="0" w:line="240" w:lineRule="auto"/>
        <w:ind w:left="708"/>
        <w:rPr>
          <w:rFonts w:asciiTheme="majorHAnsi" w:hAnsiTheme="majorHAnsi" w:cs="Ωn'1"/>
          <w:b/>
          <w:bCs/>
          <w:sz w:val="24"/>
          <w:szCs w:val="24"/>
          <w:lang w:val="en-US"/>
        </w:rPr>
      </w:pPr>
      <w:r w:rsidRPr="00447A30">
        <w:rPr>
          <w:rFonts w:asciiTheme="majorHAnsi" w:hAnsiTheme="majorHAnsi" w:cs="Times New Roman"/>
          <w:sz w:val="24"/>
          <w:szCs w:val="24"/>
          <w:lang w:val="en-US"/>
        </w:rPr>
        <w:lastRenderedPageBreak/>
        <w:t xml:space="preserve">“While tax policy has largely been understood to be an enclosed policy preserve of private sector experts, technocrats and state agencies, at the forefront of the drive to implement new policies were civil society actors and nongovernmental organizations (NGOs) pushing the issue through transnational advocacy networks (TANs). </w:t>
      </w:r>
      <w:r w:rsidRPr="00447A30">
        <w:rPr>
          <w:rFonts w:asciiTheme="majorHAnsi" w:hAnsiTheme="majorHAnsi" w:cs="Ωn'1"/>
          <w:sz w:val="24"/>
          <w:szCs w:val="24"/>
          <w:lang w:val="en-US"/>
        </w:rPr>
        <w:t xml:space="preserve">Amidst an NGO ‘scramble’ to take the mantle on tax justice issues, the UK </w:t>
      </w:r>
      <w:r w:rsidRPr="00447A30">
        <w:rPr>
          <w:rFonts w:asciiTheme="majorHAnsi" w:hAnsiTheme="majorHAnsi" w:cs="Times New Roman"/>
          <w:sz w:val="24"/>
          <w:szCs w:val="24"/>
          <w:lang w:val="en-US"/>
        </w:rPr>
        <w:t>based Tax Justice Network (TJN) emerged as the specialists, widely recognised as knowing best on tax issues. Established in 2003, TJN is a key actor on global tax justice issues and strongly influential in defining campaign issues, targets, accounting metrics, and policy content for the wider NGO community. . . .</w:t>
      </w:r>
      <w:r w:rsidRPr="00447A30">
        <w:rPr>
          <w:rFonts w:asciiTheme="majorHAnsi" w:hAnsiTheme="majorHAnsi" w:cs="Ωn'1"/>
          <w:sz w:val="24"/>
          <w:szCs w:val="24"/>
          <w:lang w:val="en-US"/>
        </w:rPr>
        <w:t xml:space="preserve"> TJN’s influence comes from its capacity to build shared narratives, provide research</w:t>
      </w:r>
      <w:r w:rsidRPr="00447A30">
        <w:rPr>
          <w:rFonts w:asciiTheme="majorHAnsi" w:hAnsiTheme="majorHAnsi" w:cs="Ωn'1"/>
          <w:b/>
          <w:bCs/>
          <w:sz w:val="24"/>
          <w:szCs w:val="24"/>
          <w:lang w:val="en-US"/>
        </w:rPr>
        <w:t>-</w:t>
      </w:r>
      <w:r w:rsidRPr="00447A30">
        <w:rPr>
          <w:rFonts w:asciiTheme="majorHAnsi" w:hAnsiTheme="majorHAnsi" w:cs="Ωn'1"/>
          <w:bCs/>
          <w:sz w:val="24"/>
          <w:szCs w:val="24"/>
          <w:lang w:val="en-US"/>
        </w:rPr>
        <w:t xml:space="preserve">led alternatives to mainstream measures and indexes, assert clear policy positions, and engage corporate interlocutors in public debate. Members of TJN have been able to speak to and influence </w:t>
      </w:r>
      <w:r w:rsidRPr="00447A30">
        <w:rPr>
          <w:rFonts w:asciiTheme="majorHAnsi" w:hAnsiTheme="majorHAnsi" w:cs="Ωn'1"/>
          <w:sz w:val="24"/>
          <w:szCs w:val="24"/>
          <w:lang w:val="en-US"/>
        </w:rPr>
        <w:t>audiences in the activist, scientific, policy, and corporate ‘worlds’.”</w:t>
      </w:r>
      <w:r w:rsidRPr="00447A30">
        <w:rPr>
          <w:rStyle w:val="EndnoteReference"/>
          <w:rFonts w:asciiTheme="majorHAnsi" w:hAnsiTheme="majorHAnsi" w:cs="Ωn'1"/>
          <w:sz w:val="24"/>
          <w:szCs w:val="24"/>
          <w:lang w:val="en-US"/>
        </w:rPr>
        <w:endnoteReference w:id="4"/>
      </w:r>
    </w:p>
    <w:p w14:paraId="15241C56" w14:textId="55B32A17" w:rsidR="00EF7BE2" w:rsidRPr="00447A30" w:rsidRDefault="00EF7BE2" w:rsidP="002C5135">
      <w:pPr>
        <w:rPr>
          <w:rFonts w:asciiTheme="majorHAnsi" w:hAnsiTheme="majorHAnsi"/>
          <w:sz w:val="24"/>
          <w:szCs w:val="24"/>
          <w:lang w:val="en-GB"/>
        </w:rPr>
      </w:pPr>
      <w:r w:rsidRPr="00447A30">
        <w:rPr>
          <w:rFonts w:asciiTheme="majorHAnsi" w:hAnsiTheme="majorHAnsi"/>
          <w:sz w:val="24"/>
          <w:szCs w:val="24"/>
          <w:lang w:val="en-GB"/>
        </w:rPr>
        <w:br/>
        <w:t xml:space="preserve">TJN actively courts the international media to maximise the impact of its research and advocacy, and it runs an active daily blog on its website, </w:t>
      </w:r>
      <w:hyperlink r:id="rId13" w:history="1">
        <w:r w:rsidRPr="00447A30">
          <w:rPr>
            <w:rStyle w:val="Hyperlink"/>
            <w:rFonts w:asciiTheme="majorHAnsi" w:hAnsiTheme="majorHAnsi"/>
            <w:sz w:val="24"/>
            <w:szCs w:val="24"/>
            <w:lang w:val="en-GB"/>
          </w:rPr>
          <w:t>www.taxjustice.net</w:t>
        </w:r>
      </w:hyperlink>
      <w:r w:rsidRPr="00447A30">
        <w:rPr>
          <w:rFonts w:asciiTheme="majorHAnsi" w:hAnsiTheme="majorHAnsi"/>
          <w:sz w:val="24"/>
          <w:szCs w:val="24"/>
          <w:lang w:val="en-GB"/>
        </w:rPr>
        <w:t xml:space="preserve">, </w:t>
      </w:r>
      <w:r w:rsidR="00447A30" w:rsidRPr="00447A30">
        <w:rPr>
          <w:rFonts w:asciiTheme="majorHAnsi" w:hAnsiTheme="majorHAnsi"/>
          <w:sz w:val="24"/>
          <w:szCs w:val="24"/>
          <w:lang w:val="en-GB"/>
        </w:rPr>
        <w:t xml:space="preserve">a monthly Taxcast, </w:t>
      </w:r>
      <w:r w:rsidRPr="00447A30">
        <w:rPr>
          <w:rFonts w:asciiTheme="majorHAnsi" w:hAnsiTheme="majorHAnsi"/>
          <w:sz w:val="24"/>
          <w:szCs w:val="24"/>
          <w:lang w:val="en-GB"/>
        </w:rPr>
        <w:t>as well as subsidiary blogs and outputs related to their core work, run by individual team members</w:t>
      </w:r>
      <w:r w:rsidRPr="00447A30">
        <w:rPr>
          <w:rStyle w:val="EndnoteReference"/>
          <w:rFonts w:asciiTheme="majorHAnsi" w:hAnsiTheme="majorHAnsi"/>
          <w:sz w:val="24"/>
          <w:szCs w:val="24"/>
          <w:lang w:val="en-GB"/>
        </w:rPr>
        <w:endnoteReference w:id="5"/>
      </w:r>
      <w:r w:rsidRPr="00447A30">
        <w:rPr>
          <w:rFonts w:asciiTheme="majorHAnsi" w:hAnsiTheme="majorHAnsi"/>
          <w:sz w:val="24"/>
          <w:szCs w:val="24"/>
          <w:lang w:val="en-GB"/>
        </w:rPr>
        <w:t xml:space="preserve">. </w:t>
      </w:r>
    </w:p>
    <w:p w14:paraId="214D1F53" w14:textId="7791FFDF" w:rsidR="005A4F74" w:rsidRPr="00447A30" w:rsidRDefault="00EF7BE2" w:rsidP="002C5135">
      <w:pPr>
        <w:rPr>
          <w:rFonts w:asciiTheme="majorHAnsi" w:hAnsiTheme="majorHAnsi"/>
          <w:b/>
          <w:sz w:val="24"/>
          <w:szCs w:val="24"/>
        </w:rPr>
      </w:pPr>
      <w:r w:rsidRPr="00447A30">
        <w:rPr>
          <w:rFonts w:asciiTheme="majorHAnsi" w:hAnsiTheme="majorHAnsi"/>
          <w:b/>
          <w:sz w:val="24"/>
          <w:szCs w:val="24"/>
        </w:rPr>
        <w:br/>
      </w:r>
      <w:r w:rsidR="005A4F74" w:rsidRPr="00447A30">
        <w:rPr>
          <w:rFonts w:asciiTheme="majorHAnsi" w:hAnsiTheme="majorHAnsi"/>
          <w:b/>
          <w:sz w:val="24"/>
          <w:szCs w:val="24"/>
        </w:rPr>
        <w:t>Impact</w:t>
      </w:r>
    </w:p>
    <w:p w14:paraId="68057A49" w14:textId="151E54C0" w:rsidR="00D92173" w:rsidRPr="00447A30" w:rsidRDefault="00D92173" w:rsidP="005A4F74">
      <w:pPr>
        <w:rPr>
          <w:rFonts w:asciiTheme="majorHAnsi" w:hAnsiTheme="majorHAnsi"/>
          <w:sz w:val="24"/>
          <w:szCs w:val="24"/>
          <w:lang w:val="en-GB"/>
        </w:rPr>
      </w:pPr>
      <w:r w:rsidRPr="00447A30">
        <w:rPr>
          <w:rFonts w:asciiTheme="majorHAnsi" w:hAnsiTheme="majorHAnsi"/>
          <w:sz w:val="24"/>
          <w:szCs w:val="24"/>
          <w:lang w:val="en-GB"/>
        </w:rPr>
        <w:t>TJN’s often radical policy solutions have had worldwide impact. For instance, its recommendation in 2003 for country by country reporting for multinational corporations</w:t>
      </w:r>
      <w:r w:rsidR="00BD22C6" w:rsidRPr="00447A30">
        <w:rPr>
          <w:rFonts w:asciiTheme="majorHAnsi" w:hAnsiTheme="majorHAnsi"/>
          <w:sz w:val="24"/>
          <w:szCs w:val="24"/>
          <w:lang w:val="en-GB"/>
        </w:rPr>
        <w:t>, and a separate recommendation made for the automatic sharing of financial information across borders</w:t>
      </w:r>
      <w:r w:rsidRPr="00447A30">
        <w:rPr>
          <w:rFonts w:asciiTheme="majorHAnsi" w:hAnsiTheme="majorHAnsi"/>
          <w:sz w:val="24"/>
          <w:szCs w:val="24"/>
          <w:lang w:val="en-GB"/>
        </w:rPr>
        <w:t xml:space="preserve"> </w:t>
      </w:r>
      <w:r w:rsidR="00BD22C6" w:rsidRPr="00447A30">
        <w:rPr>
          <w:rFonts w:asciiTheme="majorHAnsi" w:hAnsiTheme="majorHAnsi"/>
          <w:sz w:val="24"/>
          <w:szCs w:val="24"/>
          <w:lang w:val="en-GB"/>
        </w:rPr>
        <w:t xml:space="preserve">for tax purposes, </w:t>
      </w:r>
      <w:r w:rsidR="000E720A" w:rsidRPr="00447A30">
        <w:rPr>
          <w:rFonts w:asciiTheme="majorHAnsi" w:hAnsiTheme="majorHAnsi"/>
          <w:sz w:val="24"/>
          <w:szCs w:val="24"/>
          <w:lang w:val="en-GB"/>
        </w:rPr>
        <w:t xml:space="preserve">were initially dismissed as utopian but </w:t>
      </w:r>
      <w:r w:rsidRPr="00447A30">
        <w:rPr>
          <w:rFonts w:asciiTheme="majorHAnsi" w:hAnsiTheme="majorHAnsi"/>
          <w:sz w:val="24"/>
          <w:szCs w:val="24"/>
          <w:lang w:val="en-GB"/>
        </w:rPr>
        <w:t>ha</w:t>
      </w:r>
      <w:r w:rsidR="00BD22C6" w:rsidRPr="00447A30">
        <w:rPr>
          <w:rFonts w:asciiTheme="majorHAnsi" w:hAnsiTheme="majorHAnsi"/>
          <w:sz w:val="24"/>
          <w:szCs w:val="24"/>
          <w:lang w:val="en-GB"/>
        </w:rPr>
        <w:t>ve</w:t>
      </w:r>
      <w:r w:rsidRPr="00447A30">
        <w:rPr>
          <w:rFonts w:asciiTheme="majorHAnsi" w:hAnsiTheme="majorHAnsi"/>
          <w:sz w:val="24"/>
          <w:szCs w:val="24"/>
          <w:lang w:val="en-GB"/>
        </w:rPr>
        <w:t xml:space="preserve"> now </w:t>
      </w:r>
      <w:r w:rsidR="00BD22C6" w:rsidRPr="00447A30">
        <w:rPr>
          <w:rFonts w:asciiTheme="majorHAnsi" w:hAnsiTheme="majorHAnsi"/>
          <w:sz w:val="24"/>
          <w:szCs w:val="24"/>
          <w:lang w:val="en-GB"/>
        </w:rPr>
        <w:t xml:space="preserve">both </w:t>
      </w:r>
      <w:r w:rsidRPr="00447A30">
        <w:rPr>
          <w:rFonts w:asciiTheme="majorHAnsi" w:hAnsiTheme="majorHAnsi"/>
          <w:sz w:val="24"/>
          <w:szCs w:val="24"/>
          <w:lang w:val="en-GB"/>
        </w:rPr>
        <w:t xml:space="preserve">become </w:t>
      </w:r>
      <w:hyperlink r:id="rId14" w:history="1">
        <w:r w:rsidRPr="00447A30">
          <w:rPr>
            <w:rStyle w:val="Hyperlink"/>
            <w:rFonts w:asciiTheme="majorHAnsi" w:hAnsiTheme="majorHAnsi"/>
            <w:sz w:val="24"/>
            <w:szCs w:val="24"/>
            <w:lang w:val="en-GB"/>
          </w:rPr>
          <w:t>official policy</w:t>
        </w:r>
      </w:hyperlink>
      <w:r w:rsidRPr="00447A30">
        <w:rPr>
          <w:rFonts w:asciiTheme="majorHAnsi" w:hAnsiTheme="majorHAnsi"/>
          <w:sz w:val="24"/>
          <w:szCs w:val="24"/>
          <w:lang w:val="en-GB"/>
        </w:rPr>
        <w:t xml:space="preserve"> of the G20 countries and the OECD</w:t>
      </w:r>
      <w:r w:rsidR="00BD22C6" w:rsidRPr="00447A30">
        <w:rPr>
          <w:rFonts w:asciiTheme="majorHAnsi" w:hAnsiTheme="majorHAnsi"/>
          <w:sz w:val="24"/>
          <w:szCs w:val="24"/>
          <w:lang w:val="en-GB"/>
        </w:rPr>
        <w:t xml:space="preserve"> club of rich countries</w:t>
      </w:r>
      <w:r w:rsidR="00200896" w:rsidRPr="00447A30">
        <w:rPr>
          <w:rStyle w:val="EndnoteReference"/>
          <w:rFonts w:asciiTheme="majorHAnsi" w:hAnsiTheme="majorHAnsi"/>
          <w:sz w:val="24"/>
          <w:szCs w:val="24"/>
          <w:lang w:val="en-GB"/>
        </w:rPr>
        <w:endnoteReference w:id="6"/>
      </w:r>
      <w:r w:rsidRPr="00447A30">
        <w:rPr>
          <w:rFonts w:asciiTheme="majorHAnsi" w:hAnsiTheme="majorHAnsi"/>
          <w:sz w:val="24"/>
          <w:szCs w:val="24"/>
          <w:lang w:val="en-GB"/>
        </w:rPr>
        <w:t>.</w:t>
      </w:r>
    </w:p>
    <w:p w14:paraId="69B748CE" w14:textId="404C7B74" w:rsidR="005A4F74" w:rsidRPr="00447A30" w:rsidRDefault="005A4F74" w:rsidP="005A4F74">
      <w:pPr>
        <w:rPr>
          <w:rFonts w:asciiTheme="majorHAnsi" w:hAnsiTheme="majorHAnsi"/>
          <w:sz w:val="24"/>
          <w:szCs w:val="24"/>
          <w:lang w:val="en-GB"/>
        </w:rPr>
      </w:pPr>
      <w:r w:rsidRPr="00447A30">
        <w:rPr>
          <w:rFonts w:asciiTheme="majorHAnsi" w:hAnsiTheme="majorHAnsi"/>
          <w:sz w:val="24"/>
          <w:szCs w:val="24"/>
          <w:lang w:val="en-GB"/>
        </w:rPr>
        <w:t xml:space="preserve">TJN reports </w:t>
      </w:r>
      <w:r w:rsidR="00200896" w:rsidRPr="00447A30">
        <w:rPr>
          <w:rFonts w:asciiTheme="majorHAnsi" w:hAnsiTheme="majorHAnsi"/>
          <w:sz w:val="24"/>
          <w:szCs w:val="24"/>
          <w:lang w:val="en-GB"/>
        </w:rPr>
        <w:t xml:space="preserve">and initiatives </w:t>
      </w:r>
      <w:r w:rsidR="00833F7D" w:rsidRPr="00447A30">
        <w:rPr>
          <w:rFonts w:asciiTheme="majorHAnsi" w:hAnsiTheme="majorHAnsi"/>
          <w:sz w:val="24"/>
          <w:szCs w:val="24"/>
          <w:lang w:val="en-GB"/>
        </w:rPr>
        <w:t xml:space="preserve">are routinely </w:t>
      </w:r>
      <w:r w:rsidRPr="00447A30">
        <w:rPr>
          <w:rFonts w:asciiTheme="majorHAnsi" w:hAnsiTheme="majorHAnsi"/>
          <w:sz w:val="24"/>
          <w:szCs w:val="24"/>
          <w:lang w:val="en-GB"/>
        </w:rPr>
        <w:t xml:space="preserve">covered by many </w:t>
      </w:r>
      <w:r w:rsidR="00200896" w:rsidRPr="00447A30">
        <w:rPr>
          <w:rFonts w:asciiTheme="majorHAnsi" w:hAnsiTheme="majorHAnsi"/>
          <w:sz w:val="24"/>
          <w:szCs w:val="24"/>
          <w:lang w:val="en-GB"/>
        </w:rPr>
        <w:t xml:space="preserve">mainstream </w:t>
      </w:r>
      <w:r w:rsidRPr="00447A30">
        <w:rPr>
          <w:rFonts w:asciiTheme="majorHAnsi" w:hAnsiTheme="majorHAnsi"/>
          <w:sz w:val="24"/>
          <w:szCs w:val="24"/>
          <w:lang w:val="en-GB"/>
        </w:rPr>
        <w:t xml:space="preserve">media outlets such as the </w:t>
      </w:r>
      <w:r w:rsidR="00200896" w:rsidRPr="00447A30">
        <w:rPr>
          <w:rFonts w:asciiTheme="majorHAnsi" w:hAnsiTheme="majorHAnsi"/>
          <w:sz w:val="24"/>
          <w:szCs w:val="24"/>
          <w:lang w:val="en-GB"/>
        </w:rPr>
        <w:t>the Economist</w:t>
      </w:r>
      <w:r w:rsidR="00200896" w:rsidRPr="00447A30">
        <w:rPr>
          <w:rStyle w:val="EndnoteReference"/>
          <w:rFonts w:asciiTheme="majorHAnsi" w:hAnsiTheme="majorHAnsi"/>
          <w:sz w:val="24"/>
          <w:szCs w:val="24"/>
          <w:lang w:val="en-GB"/>
        </w:rPr>
        <w:endnoteReference w:id="7"/>
      </w:r>
      <w:r w:rsidR="000E720A" w:rsidRPr="00447A30">
        <w:rPr>
          <w:rFonts w:asciiTheme="majorHAnsi" w:hAnsiTheme="majorHAnsi"/>
          <w:sz w:val="24"/>
          <w:szCs w:val="24"/>
          <w:lang w:val="en-GB"/>
        </w:rPr>
        <w:t>;</w:t>
      </w:r>
      <w:r w:rsidR="00200896" w:rsidRPr="00447A30">
        <w:rPr>
          <w:rFonts w:asciiTheme="majorHAnsi" w:hAnsiTheme="majorHAnsi"/>
          <w:sz w:val="24"/>
          <w:szCs w:val="24"/>
          <w:lang w:val="en-GB"/>
        </w:rPr>
        <w:t xml:space="preserve"> </w:t>
      </w:r>
      <w:r w:rsidR="000E720A" w:rsidRPr="00447A30">
        <w:rPr>
          <w:rFonts w:asciiTheme="majorHAnsi" w:hAnsiTheme="majorHAnsi"/>
          <w:sz w:val="24"/>
          <w:szCs w:val="24"/>
          <w:lang w:val="en-GB"/>
        </w:rPr>
        <w:t>Financial Times</w:t>
      </w:r>
      <w:r w:rsidR="000E720A" w:rsidRPr="00447A30">
        <w:rPr>
          <w:rStyle w:val="EndnoteReference"/>
          <w:rFonts w:asciiTheme="majorHAnsi" w:hAnsiTheme="majorHAnsi"/>
          <w:sz w:val="24"/>
          <w:szCs w:val="24"/>
          <w:lang w:val="en-GB"/>
        </w:rPr>
        <w:endnoteReference w:id="8"/>
      </w:r>
      <w:r w:rsidR="000E720A" w:rsidRPr="00447A30">
        <w:rPr>
          <w:rFonts w:asciiTheme="majorHAnsi" w:hAnsiTheme="majorHAnsi"/>
          <w:sz w:val="24"/>
          <w:szCs w:val="24"/>
          <w:lang w:val="en-GB"/>
        </w:rPr>
        <w:t xml:space="preserve">; </w:t>
      </w:r>
      <w:r w:rsidRPr="00447A30">
        <w:rPr>
          <w:rFonts w:asciiTheme="majorHAnsi" w:hAnsiTheme="majorHAnsi"/>
          <w:sz w:val="24"/>
          <w:szCs w:val="24"/>
          <w:lang w:val="en-GB"/>
        </w:rPr>
        <w:t>New York Times</w:t>
      </w:r>
      <w:hyperlink r:id="rId15" w:anchor="cite_note-1" w:history="1">
        <w:r w:rsidRPr="00447A30">
          <w:rPr>
            <w:rStyle w:val="Hyperlink"/>
            <w:rFonts w:asciiTheme="majorHAnsi" w:hAnsiTheme="majorHAnsi"/>
            <w:sz w:val="24"/>
            <w:szCs w:val="24"/>
            <w:vertAlign w:val="superscript"/>
            <w:lang w:val="en-GB"/>
          </w:rPr>
          <w:t>[1]</w:t>
        </w:r>
      </w:hyperlink>
      <w:r w:rsidR="000E720A" w:rsidRPr="00447A30">
        <w:rPr>
          <w:rFonts w:asciiTheme="majorHAnsi" w:hAnsiTheme="majorHAnsi"/>
          <w:sz w:val="24"/>
          <w:szCs w:val="24"/>
          <w:lang w:val="en-GB"/>
        </w:rPr>
        <w:t>;</w:t>
      </w:r>
      <w:r w:rsidRPr="00447A30">
        <w:rPr>
          <w:rFonts w:asciiTheme="majorHAnsi" w:hAnsiTheme="majorHAnsi"/>
          <w:sz w:val="24"/>
          <w:szCs w:val="24"/>
          <w:lang w:val="en-GB"/>
        </w:rPr>
        <w:t xml:space="preserve"> </w:t>
      </w:r>
      <w:r w:rsidR="000E720A" w:rsidRPr="00447A30">
        <w:rPr>
          <w:rFonts w:asciiTheme="majorHAnsi" w:hAnsiTheme="majorHAnsi"/>
          <w:sz w:val="24"/>
          <w:szCs w:val="24"/>
          <w:lang w:val="en-GB"/>
        </w:rPr>
        <w:t>T</w:t>
      </w:r>
      <w:r w:rsidRPr="00447A30">
        <w:rPr>
          <w:rFonts w:asciiTheme="majorHAnsi" w:hAnsiTheme="majorHAnsi"/>
          <w:sz w:val="24"/>
          <w:szCs w:val="24"/>
          <w:lang w:val="en-GB"/>
        </w:rPr>
        <w:t>he Guardian</w:t>
      </w:r>
      <w:hyperlink r:id="rId16" w:anchor="cite_note-2" w:history="1">
        <w:r w:rsidRPr="00447A30">
          <w:rPr>
            <w:rStyle w:val="Hyperlink"/>
            <w:rFonts w:asciiTheme="majorHAnsi" w:hAnsiTheme="majorHAnsi"/>
            <w:sz w:val="24"/>
            <w:szCs w:val="24"/>
            <w:vertAlign w:val="superscript"/>
            <w:lang w:val="en-GB"/>
          </w:rPr>
          <w:t>[2]</w:t>
        </w:r>
      </w:hyperlink>
      <w:hyperlink r:id="rId17" w:anchor="cite_note-3" w:history="1">
        <w:r w:rsidRPr="00447A30">
          <w:rPr>
            <w:rStyle w:val="Hyperlink"/>
            <w:rFonts w:asciiTheme="majorHAnsi" w:hAnsiTheme="majorHAnsi"/>
            <w:sz w:val="24"/>
            <w:szCs w:val="24"/>
            <w:vertAlign w:val="superscript"/>
            <w:lang w:val="en-GB"/>
          </w:rPr>
          <w:t>[3]</w:t>
        </w:r>
      </w:hyperlink>
      <w:hyperlink r:id="rId18" w:anchor="cite_note-4" w:history="1">
        <w:r w:rsidRPr="00447A30">
          <w:rPr>
            <w:rStyle w:val="Hyperlink"/>
            <w:rFonts w:asciiTheme="majorHAnsi" w:hAnsiTheme="majorHAnsi"/>
            <w:sz w:val="24"/>
            <w:szCs w:val="24"/>
            <w:vertAlign w:val="superscript"/>
            <w:lang w:val="en-GB"/>
          </w:rPr>
          <w:t>[4]</w:t>
        </w:r>
      </w:hyperlink>
      <w:r w:rsidR="000E720A" w:rsidRPr="00447A30">
        <w:rPr>
          <w:rFonts w:asciiTheme="majorHAnsi" w:hAnsiTheme="majorHAnsi"/>
          <w:sz w:val="24"/>
          <w:szCs w:val="24"/>
          <w:lang w:val="en-GB"/>
        </w:rPr>
        <w:t>;</w:t>
      </w:r>
      <w:r w:rsidRPr="00447A30">
        <w:rPr>
          <w:rFonts w:asciiTheme="majorHAnsi" w:hAnsiTheme="majorHAnsi"/>
          <w:sz w:val="24"/>
          <w:szCs w:val="24"/>
          <w:lang w:val="en-GB"/>
        </w:rPr>
        <w:t xml:space="preserve"> Washington Post</w:t>
      </w:r>
      <w:hyperlink r:id="rId19" w:anchor="cite_note-5" w:history="1">
        <w:r w:rsidRPr="00447A30">
          <w:rPr>
            <w:rStyle w:val="Hyperlink"/>
            <w:rFonts w:asciiTheme="majorHAnsi" w:hAnsiTheme="majorHAnsi"/>
            <w:sz w:val="24"/>
            <w:szCs w:val="24"/>
            <w:vertAlign w:val="superscript"/>
            <w:lang w:val="en-GB"/>
          </w:rPr>
          <w:t>[5]</w:t>
        </w:r>
      </w:hyperlink>
      <w:r w:rsidR="000E720A" w:rsidRPr="00447A30">
        <w:rPr>
          <w:rFonts w:asciiTheme="majorHAnsi" w:hAnsiTheme="majorHAnsi"/>
          <w:sz w:val="24"/>
          <w:szCs w:val="24"/>
          <w:lang w:val="en-GB"/>
        </w:rPr>
        <w:t>;</w:t>
      </w:r>
      <w:r w:rsidRPr="00447A30">
        <w:rPr>
          <w:rFonts w:asciiTheme="majorHAnsi" w:hAnsiTheme="majorHAnsi"/>
          <w:sz w:val="24"/>
          <w:szCs w:val="24"/>
          <w:lang w:val="en-GB"/>
        </w:rPr>
        <w:t xml:space="preserve"> </w:t>
      </w:r>
      <w:r w:rsidR="000E720A" w:rsidRPr="00447A30">
        <w:rPr>
          <w:rFonts w:asciiTheme="majorHAnsi" w:hAnsiTheme="majorHAnsi"/>
          <w:sz w:val="24"/>
          <w:szCs w:val="24"/>
          <w:lang w:val="en-GB"/>
        </w:rPr>
        <w:t>Le Monde</w:t>
      </w:r>
      <w:r w:rsidR="000E720A" w:rsidRPr="00447A30">
        <w:rPr>
          <w:rStyle w:val="EndnoteReference"/>
          <w:rFonts w:asciiTheme="majorHAnsi" w:hAnsiTheme="majorHAnsi"/>
          <w:sz w:val="24"/>
          <w:szCs w:val="24"/>
          <w:lang w:val="en-GB"/>
        </w:rPr>
        <w:endnoteReference w:id="9"/>
      </w:r>
      <w:r w:rsidR="000E720A" w:rsidRPr="00447A30">
        <w:rPr>
          <w:rFonts w:asciiTheme="majorHAnsi" w:hAnsiTheme="majorHAnsi"/>
          <w:sz w:val="24"/>
          <w:szCs w:val="24"/>
          <w:lang w:val="en-GB"/>
        </w:rPr>
        <w:t xml:space="preserve">; </w:t>
      </w:r>
      <w:r w:rsidRPr="00447A30">
        <w:rPr>
          <w:rFonts w:asciiTheme="majorHAnsi" w:hAnsiTheme="majorHAnsi"/>
          <w:sz w:val="24"/>
          <w:szCs w:val="24"/>
          <w:lang w:val="en-GB"/>
        </w:rPr>
        <w:t>F</w:t>
      </w:r>
      <w:r w:rsidR="00200896" w:rsidRPr="00447A30">
        <w:rPr>
          <w:rFonts w:asciiTheme="majorHAnsi" w:hAnsiTheme="majorHAnsi"/>
          <w:sz w:val="24"/>
          <w:szCs w:val="24"/>
          <w:lang w:val="en-GB"/>
        </w:rPr>
        <w:t>ran</w:t>
      </w:r>
      <w:r w:rsidR="000E720A" w:rsidRPr="00447A30">
        <w:rPr>
          <w:rFonts w:asciiTheme="majorHAnsi" w:hAnsiTheme="majorHAnsi"/>
          <w:sz w:val="24"/>
          <w:szCs w:val="24"/>
          <w:lang w:val="en-GB"/>
        </w:rPr>
        <w:t>k</w:t>
      </w:r>
      <w:r w:rsidR="00200896" w:rsidRPr="00447A30">
        <w:rPr>
          <w:rFonts w:asciiTheme="majorHAnsi" w:hAnsiTheme="majorHAnsi"/>
          <w:sz w:val="24"/>
          <w:szCs w:val="24"/>
          <w:lang w:val="en-GB"/>
        </w:rPr>
        <w:t xml:space="preserve">furter Allgemeine </w:t>
      </w:r>
      <w:r w:rsidRPr="00447A30">
        <w:rPr>
          <w:rFonts w:asciiTheme="majorHAnsi" w:hAnsiTheme="majorHAnsi"/>
          <w:sz w:val="24"/>
          <w:szCs w:val="24"/>
          <w:lang w:val="en-GB"/>
        </w:rPr>
        <w:t>Z</w:t>
      </w:r>
      <w:r w:rsidR="00200896" w:rsidRPr="00447A30">
        <w:rPr>
          <w:rFonts w:asciiTheme="majorHAnsi" w:hAnsiTheme="majorHAnsi"/>
          <w:sz w:val="24"/>
          <w:szCs w:val="24"/>
          <w:lang w:val="en-GB"/>
        </w:rPr>
        <w:t>eitung</w:t>
      </w:r>
      <w:hyperlink r:id="rId20" w:anchor="cite_note-6" w:history="1">
        <w:r w:rsidRPr="00447A30">
          <w:rPr>
            <w:rStyle w:val="Hyperlink"/>
            <w:rFonts w:asciiTheme="majorHAnsi" w:hAnsiTheme="majorHAnsi"/>
            <w:sz w:val="24"/>
            <w:szCs w:val="24"/>
            <w:vertAlign w:val="superscript"/>
            <w:lang w:val="en-GB"/>
          </w:rPr>
          <w:t>[6]</w:t>
        </w:r>
      </w:hyperlink>
      <w:hyperlink r:id="rId21" w:anchor="cite_note-7" w:history="1">
        <w:r w:rsidRPr="00447A30">
          <w:rPr>
            <w:rStyle w:val="Hyperlink"/>
            <w:rFonts w:asciiTheme="majorHAnsi" w:hAnsiTheme="majorHAnsi"/>
            <w:sz w:val="24"/>
            <w:szCs w:val="24"/>
            <w:vertAlign w:val="superscript"/>
            <w:lang w:val="en-GB"/>
          </w:rPr>
          <w:t>[7]</w:t>
        </w:r>
      </w:hyperlink>
      <w:r w:rsidR="000E720A" w:rsidRPr="00447A30">
        <w:rPr>
          <w:rFonts w:asciiTheme="majorHAnsi" w:hAnsiTheme="majorHAnsi"/>
          <w:sz w:val="24"/>
          <w:szCs w:val="24"/>
          <w:lang w:val="en-GB"/>
        </w:rPr>
        <w:t>;</w:t>
      </w:r>
      <w:r w:rsidRPr="00447A30">
        <w:rPr>
          <w:rFonts w:asciiTheme="majorHAnsi" w:hAnsiTheme="majorHAnsi"/>
          <w:sz w:val="24"/>
          <w:szCs w:val="24"/>
          <w:lang w:val="en-GB"/>
        </w:rPr>
        <w:t xml:space="preserve"> </w:t>
      </w:r>
      <w:r w:rsidR="00200896" w:rsidRPr="00447A30">
        <w:rPr>
          <w:rFonts w:asciiTheme="majorHAnsi" w:hAnsiTheme="majorHAnsi"/>
          <w:sz w:val="24"/>
          <w:szCs w:val="24"/>
          <w:lang w:val="en-GB"/>
        </w:rPr>
        <w:t xml:space="preserve">Der </w:t>
      </w:r>
      <w:r w:rsidRPr="00447A30">
        <w:rPr>
          <w:rFonts w:asciiTheme="majorHAnsi" w:hAnsiTheme="majorHAnsi"/>
          <w:sz w:val="24"/>
          <w:szCs w:val="24"/>
          <w:lang w:val="en-GB"/>
        </w:rPr>
        <w:t>Spiegel</w:t>
      </w:r>
      <w:r w:rsidR="000E720A" w:rsidRPr="00447A30">
        <w:rPr>
          <w:rStyle w:val="EndnoteReference"/>
          <w:rFonts w:asciiTheme="majorHAnsi" w:hAnsiTheme="majorHAnsi"/>
          <w:sz w:val="24"/>
          <w:szCs w:val="24"/>
          <w:lang w:val="en-GB"/>
        </w:rPr>
        <w:endnoteReference w:id="10"/>
      </w:r>
      <w:r w:rsidRPr="00447A30">
        <w:rPr>
          <w:rFonts w:asciiTheme="majorHAnsi" w:hAnsiTheme="majorHAnsi"/>
          <w:sz w:val="24"/>
          <w:szCs w:val="24"/>
          <w:lang w:val="en-GB"/>
        </w:rPr>
        <w:t xml:space="preserve">, Bloomberg, </w:t>
      </w:r>
      <w:r w:rsidR="00200896" w:rsidRPr="00447A30">
        <w:rPr>
          <w:rFonts w:asciiTheme="majorHAnsi" w:hAnsiTheme="majorHAnsi"/>
          <w:sz w:val="24"/>
          <w:szCs w:val="24"/>
          <w:lang w:val="en-GB"/>
        </w:rPr>
        <w:t xml:space="preserve">, </w:t>
      </w:r>
      <w:r w:rsidRPr="00447A30">
        <w:rPr>
          <w:rFonts w:asciiTheme="majorHAnsi" w:hAnsiTheme="majorHAnsi"/>
          <w:sz w:val="24"/>
          <w:szCs w:val="24"/>
          <w:lang w:val="en-GB"/>
        </w:rPr>
        <w:t>Reuters and many others</w:t>
      </w:r>
      <w:r w:rsidR="00200896" w:rsidRPr="00447A30">
        <w:rPr>
          <w:rFonts w:asciiTheme="majorHAnsi" w:hAnsiTheme="majorHAnsi"/>
          <w:sz w:val="24"/>
          <w:szCs w:val="24"/>
          <w:lang w:val="en-GB"/>
        </w:rPr>
        <w:t>;</w:t>
      </w:r>
      <w:r w:rsidRPr="00447A30">
        <w:rPr>
          <w:rFonts w:asciiTheme="majorHAnsi" w:hAnsiTheme="majorHAnsi"/>
          <w:sz w:val="24"/>
          <w:szCs w:val="24"/>
          <w:lang w:val="en-GB"/>
        </w:rPr>
        <w:t xml:space="preserve"> </w:t>
      </w:r>
      <w:r w:rsidR="00200896" w:rsidRPr="00447A30">
        <w:rPr>
          <w:rFonts w:asciiTheme="majorHAnsi" w:hAnsiTheme="majorHAnsi"/>
          <w:sz w:val="24"/>
          <w:szCs w:val="24"/>
          <w:lang w:val="en-GB"/>
        </w:rPr>
        <w:t xml:space="preserve">TJN experts </w:t>
      </w:r>
      <w:r w:rsidRPr="00447A30">
        <w:rPr>
          <w:rFonts w:asciiTheme="majorHAnsi" w:hAnsiTheme="majorHAnsi"/>
          <w:sz w:val="24"/>
          <w:szCs w:val="24"/>
          <w:lang w:val="en-GB"/>
        </w:rPr>
        <w:t xml:space="preserve">are frequently </w:t>
      </w:r>
      <w:r w:rsidR="00200896" w:rsidRPr="00447A30">
        <w:rPr>
          <w:rFonts w:asciiTheme="majorHAnsi" w:hAnsiTheme="majorHAnsi"/>
          <w:sz w:val="24"/>
          <w:szCs w:val="24"/>
          <w:lang w:val="en-GB"/>
        </w:rPr>
        <w:t xml:space="preserve">called to testify </w:t>
      </w:r>
      <w:r w:rsidRPr="00447A30">
        <w:rPr>
          <w:rFonts w:asciiTheme="majorHAnsi" w:hAnsiTheme="majorHAnsi"/>
          <w:sz w:val="24"/>
          <w:szCs w:val="24"/>
          <w:lang w:val="en-GB"/>
        </w:rPr>
        <w:t>at public hearings</w:t>
      </w:r>
      <w:r w:rsidR="00200896" w:rsidRPr="00447A30">
        <w:rPr>
          <w:rFonts w:asciiTheme="majorHAnsi" w:hAnsiTheme="majorHAnsi"/>
          <w:sz w:val="24"/>
          <w:szCs w:val="24"/>
          <w:lang w:val="en-GB"/>
        </w:rPr>
        <w:t>:</w:t>
      </w:r>
      <w:r w:rsidRPr="00447A30">
        <w:rPr>
          <w:rFonts w:asciiTheme="majorHAnsi" w:hAnsiTheme="majorHAnsi"/>
          <w:sz w:val="24"/>
          <w:szCs w:val="24"/>
          <w:lang w:val="en-GB"/>
        </w:rPr>
        <w:t xml:space="preserve"> for instance at </w:t>
      </w:r>
      <w:r w:rsidR="00A475BF" w:rsidRPr="00447A30">
        <w:rPr>
          <w:rFonts w:asciiTheme="majorHAnsi" w:hAnsiTheme="majorHAnsi"/>
          <w:sz w:val="24"/>
          <w:szCs w:val="24"/>
          <w:lang w:val="en-GB"/>
        </w:rPr>
        <w:t>the US Senate</w:t>
      </w:r>
      <w:r w:rsidR="00A475BF" w:rsidRPr="00447A30">
        <w:rPr>
          <w:rStyle w:val="EndnoteReference"/>
          <w:rFonts w:asciiTheme="majorHAnsi" w:hAnsiTheme="majorHAnsi"/>
          <w:sz w:val="24"/>
          <w:szCs w:val="24"/>
          <w:lang w:val="en-GB"/>
        </w:rPr>
        <w:endnoteReference w:id="11"/>
      </w:r>
      <w:r w:rsidR="00A475BF" w:rsidRPr="00447A30">
        <w:rPr>
          <w:rFonts w:asciiTheme="majorHAnsi" w:hAnsiTheme="majorHAnsi"/>
          <w:sz w:val="24"/>
          <w:szCs w:val="24"/>
          <w:lang w:val="en-GB"/>
        </w:rPr>
        <w:t xml:space="preserve">; the </w:t>
      </w:r>
      <w:r w:rsidR="00200896" w:rsidRPr="00447A30">
        <w:rPr>
          <w:rFonts w:asciiTheme="majorHAnsi" w:hAnsiTheme="majorHAnsi"/>
          <w:sz w:val="24"/>
          <w:szCs w:val="24"/>
          <w:lang w:val="en-GB"/>
        </w:rPr>
        <w:t>F</w:t>
      </w:r>
      <w:r w:rsidRPr="00447A30">
        <w:rPr>
          <w:rFonts w:asciiTheme="majorHAnsi" w:hAnsiTheme="majorHAnsi"/>
          <w:sz w:val="24"/>
          <w:szCs w:val="24"/>
          <w:lang w:val="en-GB"/>
        </w:rPr>
        <w:t xml:space="preserve">inance </w:t>
      </w:r>
      <w:r w:rsidR="00200896" w:rsidRPr="00447A30">
        <w:rPr>
          <w:rFonts w:asciiTheme="majorHAnsi" w:hAnsiTheme="majorHAnsi"/>
          <w:sz w:val="24"/>
          <w:szCs w:val="24"/>
          <w:lang w:val="en-GB"/>
        </w:rPr>
        <w:t>C</w:t>
      </w:r>
      <w:r w:rsidRPr="00447A30">
        <w:rPr>
          <w:rFonts w:asciiTheme="majorHAnsi" w:hAnsiTheme="majorHAnsi"/>
          <w:sz w:val="24"/>
          <w:szCs w:val="24"/>
          <w:lang w:val="en-GB"/>
        </w:rPr>
        <w:t>ommittee of the German Bundestag</w:t>
      </w:r>
      <w:hyperlink r:id="rId22" w:anchor="cite_note-8" w:history="1">
        <w:r w:rsidRPr="00447A30">
          <w:rPr>
            <w:rStyle w:val="Hyperlink"/>
            <w:rFonts w:asciiTheme="majorHAnsi" w:hAnsiTheme="majorHAnsi"/>
            <w:sz w:val="24"/>
            <w:szCs w:val="24"/>
            <w:vertAlign w:val="superscript"/>
            <w:lang w:val="en-GB"/>
          </w:rPr>
          <w:t>[8]</w:t>
        </w:r>
      </w:hyperlink>
      <w:hyperlink r:id="rId23" w:anchor="cite_note-9" w:history="1">
        <w:r w:rsidRPr="00447A30">
          <w:rPr>
            <w:rStyle w:val="Hyperlink"/>
            <w:rFonts w:asciiTheme="majorHAnsi" w:hAnsiTheme="majorHAnsi"/>
            <w:sz w:val="24"/>
            <w:szCs w:val="24"/>
            <w:vertAlign w:val="superscript"/>
            <w:lang w:val="en-GB"/>
          </w:rPr>
          <w:t>[9]</w:t>
        </w:r>
      </w:hyperlink>
      <w:hyperlink r:id="rId24" w:anchor="cite_note-10" w:history="1">
        <w:r w:rsidRPr="00447A30">
          <w:rPr>
            <w:rStyle w:val="Hyperlink"/>
            <w:rFonts w:asciiTheme="majorHAnsi" w:hAnsiTheme="majorHAnsi"/>
            <w:sz w:val="24"/>
            <w:szCs w:val="24"/>
            <w:vertAlign w:val="superscript"/>
            <w:lang w:val="en-GB"/>
          </w:rPr>
          <w:t>[10]</w:t>
        </w:r>
      </w:hyperlink>
      <w:r w:rsidRPr="00447A30">
        <w:rPr>
          <w:rFonts w:asciiTheme="majorHAnsi" w:hAnsiTheme="majorHAnsi"/>
          <w:sz w:val="24"/>
          <w:szCs w:val="24"/>
          <w:lang w:val="en-GB"/>
        </w:rPr>
        <w:t xml:space="preserve">,; </w:t>
      </w:r>
      <w:r w:rsidR="00200896" w:rsidRPr="00447A30">
        <w:rPr>
          <w:rFonts w:asciiTheme="majorHAnsi" w:hAnsiTheme="majorHAnsi"/>
          <w:sz w:val="24"/>
          <w:szCs w:val="24"/>
          <w:lang w:val="en-GB"/>
        </w:rPr>
        <w:t>France’s Assemblée Nationale</w:t>
      </w:r>
      <w:r w:rsidRPr="00447A30">
        <w:rPr>
          <w:rFonts w:asciiTheme="majorHAnsi" w:hAnsiTheme="majorHAnsi"/>
          <w:sz w:val="24"/>
          <w:szCs w:val="24"/>
          <w:lang w:val="en-GB"/>
        </w:rPr>
        <w:t xml:space="preserve">, </w:t>
      </w:r>
      <w:r w:rsidR="00200896" w:rsidRPr="00447A30">
        <w:rPr>
          <w:rFonts w:asciiTheme="majorHAnsi" w:hAnsiTheme="majorHAnsi"/>
          <w:sz w:val="24"/>
          <w:szCs w:val="24"/>
          <w:lang w:val="en-GB"/>
        </w:rPr>
        <w:t>the EU Parliament</w:t>
      </w:r>
      <w:r w:rsidR="00A475BF" w:rsidRPr="00447A30">
        <w:rPr>
          <w:rFonts w:asciiTheme="majorHAnsi" w:hAnsiTheme="majorHAnsi"/>
          <w:sz w:val="24"/>
          <w:szCs w:val="24"/>
          <w:lang w:val="en-GB"/>
        </w:rPr>
        <w:t>; the UK parliament</w:t>
      </w:r>
      <w:r w:rsidR="00200896" w:rsidRPr="00447A30">
        <w:rPr>
          <w:rFonts w:asciiTheme="majorHAnsi" w:hAnsiTheme="majorHAnsi"/>
          <w:sz w:val="24"/>
          <w:szCs w:val="24"/>
          <w:lang w:val="en-GB"/>
        </w:rPr>
        <w:t xml:space="preserve"> JOHN TO FILL THIS WITH LINKS AND STUFF.</w:t>
      </w:r>
    </w:p>
    <w:p w14:paraId="67DBB631" w14:textId="26B786B3" w:rsidR="00E92F4A" w:rsidRPr="00447A30" w:rsidRDefault="00E92F4A" w:rsidP="002C5135">
      <w:pPr>
        <w:rPr>
          <w:rFonts w:asciiTheme="majorHAnsi" w:hAnsiTheme="majorHAnsi"/>
          <w:b/>
          <w:sz w:val="24"/>
          <w:szCs w:val="24"/>
        </w:rPr>
      </w:pPr>
      <w:r w:rsidRPr="00447A30">
        <w:rPr>
          <w:rFonts w:asciiTheme="majorHAnsi" w:hAnsiTheme="majorHAnsi"/>
          <w:b/>
          <w:sz w:val="24"/>
          <w:szCs w:val="24"/>
        </w:rPr>
        <w:t>History</w:t>
      </w:r>
    </w:p>
    <w:p w14:paraId="24151294" w14:textId="4274E7CB" w:rsidR="00833F7D" w:rsidRPr="00447A30" w:rsidRDefault="00447A30" w:rsidP="002C5135">
      <w:pPr>
        <w:rPr>
          <w:rFonts w:asciiTheme="majorHAnsi" w:hAnsiTheme="majorHAnsi"/>
          <w:sz w:val="24"/>
          <w:szCs w:val="24"/>
        </w:rPr>
      </w:pPr>
      <w:r w:rsidRPr="00447A30">
        <w:rPr>
          <w:rFonts w:asciiTheme="majorHAnsi" w:hAnsiTheme="majorHAnsi"/>
          <w:sz w:val="24"/>
          <w:szCs w:val="24"/>
        </w:rPr>
        <w:t xml:space="preserve">The Tax Justice Network was </w:t>
      </w:r>
      <w:r w:rsidR="002816A5">
        <w:rPr>
          <w:rFonts w:asciiTheme="majorHAnsi" w:hAnsiTheme="majorHAnsi"/>
          <w:sz w:val="24"/>
          <w:szCs w:val="24"/>
        </w:rPr>
        <w:t>founded at a meeting of 28 people in Florence, Italy, in November 2002,  and it was publicly launched at an event in the UK Houses of Parliament in March 2003</w:t>
      </w:r>
      <w:r w:rsidR="002816A5">
        <w:rPr>
          <w:rStyle w:val="EndnoteReference"/>
          <w:rFonts w:asciiTheme="majorHAnsi" w:hAnsiTheme="majorHAnsi"/>
          <w:sz w:val="24"/>
          <w:szCs w:val="24"/>
        </w:rPr>
        <w:endnoteReference w:id="12"/>
      </w:r>
      <w:r w:rsidR="002816A5">
        <w:rPr>
          <w:rFonts w:asciiTheme="majorHAnsi" w:hAnsiTheme="majorHAnsi"/>
          <w:sz w:val="24"/>
          <w:szCs w:val="24"/>
        </w:rPr>
        <w:t xml:space="preserve">. The declared aim of creating a new analysis of tax havens and international tax issues. The most active players in the early years were John Christensen, Sven Giegold, Richard Murphy, Prem Sikka and Sony Kapoor.  </w:t>
      </w:r>
    </w:p>
    <w:p w14:paraId="217BE57B" w14:textId="324777BF" w:rsidR="00447A30" w:rsidRPr="00447A30" w:rsidRDefault="00447A30" w:rsidP="002C5135">
      <w:pPr>
        <w:rPr>
          <w:rFonts w:asciiTheme="majorHAnsi" w:hAnsiTheme="majorHAnsi"/>
          <w:b/>
          <w:sz w:val="24"/>
          <w:szCs w:val="24"/>
        </w:rPr>
      </w:pPr>
      <w:r w:rsidRPr="00447A30">
        <w:rPr>
          <w:rFonts w:asciiTheme="majorHAnsi" w:hAnsiTheme="majorHAnsi"/>
          <w:b/>
          <w:sz w:val="24"/>
          <w:szCs w:val="24"/>
        </w:rPr>
        <w:lastRenderedPageBreak/>
        <w:t>Funding</w:t>
      </w:r>
    </w:p>
    <w:p w14:paraId="7AC9BA24" w14:textId="42372B27" w:rsidR="00447A30" w:rsidRDefault="002816A5" w:rsidP="002C5135">
      <w:pPr>
        <w:rPr>
          <w:rFonts w:asciiTheme="majorHAnsi" w:eastAsia="Times New Roman" w:hAnsiTheme="majorHAnsi" w:cs="Times New Roman"/>
          <w:sz w:val="24"/>
          <w:szCs w:val="24"/>
          <w:lang w:val="en-GB"/>
        </w:rPr>
      </w:pPr>
      <w:r w:rsidRPr="00447A30">
        <w:rPr>
          <w:rFonts w:asciiTheme="majorHAnsi" w:hAnsiTheme="majorHAnsi"/>
          <w:sz w:val="24"/>
          <w:szCs w:val="24"/>
          <w:lang w:val="en-US"/>
        </w:rPr>
        <w:t xml:space="preserve">Tax Justice Network Limited is a non-profit company limited by guarantee registered in England (link/reference to our corporate registry entry). </w:t>
      </w:r>
      <w:r>
        <w:rPr>
          <w:rFonts w:asciiTheme="majorHAnsi" w:hAnsiTheme="majorHAnsi"/>
          <w:sz w:val="24"/>
          <w:szCs w:val="24"/>
          <w:lang w:val="en-US"/>
        </w:rPr>
        <w:t xml:space="preserve"> </w:t>
      </w:r>
      <w:r w:rsidR="00447A30" w:rsidRPr="00447A30">
        <w:rPr>
          <w:rFonts w:asciiTheme="majorHAnsi" w:hAnsiTheme="majorHAnsi"/>
          <w:sz w:val="24"/>
          <w:szCs w:val="24"/>
        </w:rPr>
        <w:t>In 2014 TJN’s grant income amounted to £580,000 and its expenditure £569,131. Most of the funding came from larger donors:</w:t>
      </w:r>
      <w:r w:rsidR="00447A30" w:rsidRPr="00447A30">
        <w:rPr>
          <w:rFonts w:asciiTheme="majorHAnsi" w:hAnsiTheme="majorHAnsi"/>
          <w:b/>
          <w:sz w:val="24"/>
          <w:szCs w:val="24"/>
        </w:rPr>
        <w:t xml:space="preserve"> </w:t>
      </w:r>
      <w:r w:rsidR="00447A30" w:rsidRPr="00447A30">
        <w:rPr>
          <w:rFonts w:asciiTheme="majorHAnsi" w:eastAsia="Times New Roman" w:hAnsiTheme="majorHAnsi" w:cs="Times New Roman"/>
          <w:sz w:val="24"/>
          <w:szCs w:val="24"/>
          <w:lang w:val="en-GB"/>
        </w:rPr>
        <w:t>Christian Aid; Financial Transparency Coalition; the Independent Commission for the Reform of International Corporate Taxation (ICRICT,) the Joffe Charitable Trust; the Joseph Rowntree Charitable Trust; Norad; The Offshore Game; and Oxfam Novib.</w:t>
      </w:r>
      <w:r w:rsidR="00E2745F">
        <w:rPr>
          <w:rStyle w:val="EndnoteReference"/>
          <w:rFonts w:asciiTheme="majorHAnsi" w:eastAsia="Times New Roman" w:hAnsiTheme="majorHAnsi" w:cs="Times New Roman"/>
          <w:sz w:val="24"/>
          <w:szCs w:val="24"/>
          <w:lang w:val="en-GB"/>
        </w:rPr>
        <w:endnoteReference w:id="13"/>
      </w:r>
    </w:p>
    <w:p w14:paraId="597F3BE0" w14:textId="77777777" w:rsidR="005827A9" w:rsidRPr="005827A9" w:rsidRDefault="005827A9" w:rsidP="002C5135">
      <w:pPr>
        <w:rPr>
          <w:rFonts w:asciiTheme="majorHAnsi" w:eastAsia="Times New Roman" w:hAnsiTheme="majorHAnsi" w:cs="Times New Roman"/>
          <w:sz w:val="24"/>
          <w:szCs w:val="24"/>
          <w:lang w:val="en-GB"/>
        </w:rPr>
      </w:pPr>
      <w:bookmarkStart w:id="0" w:name="_GoBack"/>
      <w:bookmarkEnd w:id="0"/>
    </w:p>
    <w:p w14:paraId="04FB3A80" w14:textId="48AE4605" w:rsidR="00F35E15" w:rsidRPr="00447A30" w:rsidRDefault="00793498" w:rsidP="002C5135">
      <w:pPr>
        <w:rPr>
          <w:rFonts w:asciiTheme="majorHAnsi" w:hAnsiTheme="majorHAnsi"/>
          <w:b/>
          <w:sz w:val="24"/>
          <w:szCs w:val="24"/>
          <w:lang w:val="en-US"/>
        </w:rPr>
      </w:pPr>
      <w:r w:rsidRPr="00447A30">
        <w:rPr>
          <w:rFonts w:asciiTheme="majorHAnsi" w:hAnsiTheme="majorHAnsi"/>
          <w:b/>
          <w:sz w:val="24"/>
          <w:szCs w:val="24"/>
          <w:lang w:val="en-US"/>
        </w:rPr>
        <w:t>Key Publications and websites:</w:t>
      </w:r>
    </w:p>
    <w:p w14:paraId="35000177" w14:textId="55F18535" w:rsidR="00793498" w:rsidRPr="00447A30" w:rsidRDefault="00793498" w:rsidP="00793498">
      <w:pPr>
        <w:rPr>
          <w:rFonts w:asciiTheme="majorHAnsi" w:hAnsiTheme="majorHAnsi"/>
          <w:sz w:val="24"/>
          <w:szCs w:val="24"/>
          <w:lang w:val="en-US"/>
        </w:rPr>
      </w:pPr>
      <w:r w:rsidRPr="00E2745F">
        <w:rPr>
          <w:rFonts w:asciiTheme="majorHAnsi" w:hAnsiTheme="majorHAnsi"/>
          <w:b/>
          <w:sz w:val="24"/>
          <w:szCs w:val="24"/>
          <w:lang w:val="en-US"/>
        </w:rPr>
        <w:t>Tax Justice Blog</w:t>
      </w:r>
      <w:r w:rsidRPr="00447A30">
        <w:rPr>
          <w:rFonts w:asciiTheme="majorHAnsi" w:hAnsiTheme="majorHAnsi"/>
          <w:sz w:val="24"/>
          <w:szCs w:val="24"/>
          <w:lang w:val="en-US"/>
        </w:rPr>
        <w:t>.</w:t>
      </w:r>
      <w:r w:rsidR="00E2745F">
        <w:rPr>
          <w:rFonts w:asciiTheme="majorHAnsi" w:hAnsiTheme="majorHAnsi"/>
          <w:sz w:val="24"/>
          <w:szCs w:val="24"/>
          <w:lang w:val="en-US"/>
        </w:rPr>
        <w:t xml:space="preserve"> </w:t>
      </w:r>
      <w:hyperlink r:id="rId25" w:history="1">
        <w:r w:rsidR="00E2745F" w:rsidRPr="007354ED">
          <w:rPr>
            <w:rStyle w:val="Hyperlink"/>
            <w:rFonts w:asciiTheme="majorHAnsi" w:hAnsiTheme="majorHAnsi"/>
            <w:sz w:val="24"/>
            <w:szCs w:val="24"/>
            <w:lang w:val="en-US"/>
          </w:rPr>
          <w:t>www.taxjustice.net</w:t>
        </w:r>
      </w:hyperlink>
      <w:r w:rsidR="00E2745F">
        <w:rPr>
          <w:rFonts w:asciiTheme="majorHAnsi" w:hAnsiTheme="majorHAnsi"/>
          <w:sz w:val="24"/>
          <w:szCs w:val="24"/>
          <w:lang w:val="en-US"/>
        </w:rPr>
        <w:t xml:space="preserve"> </w:t>
      </w:r>
    </w:p>
    <w:p w14:paraId="5C44F836" w14:textId="02CE5B41" w:rsidR="00793498" w:rsidRPr="00447A30" w:rsidRDefault="00793498" w:rsidP="00793498">
      <w:pPr>
        <w:rPr>
          <w:rFonts w:asciiTheme="majorHAnsi" w:hAnsiTheme="majorHAnsi"/>
          <w:sz w:val="24"/>
          <w:szCs w:val="24"/>
          <w:lang w:val="en-US"/>
        </w:rPr>
      </w:pPr>
      <w:r w:rsidRPr="00E2745F">
        <w:rPr>
          <w:rFonts w:asciiTheme="majorHAnsi" w:hAnsiTheme="majorHAnsi"/>
          <w:b/>
          <w:sz w:val="24"/>
          <w:szCs w:val="24"/>
          <w:lang w:val="en-US"/>
        </w:rPr>
        <w:t>Taxcast</w:t>
      </w:r>
      <w:r w:rsidRPr="00447A30">
        <w:rPr>
          <w:rFonts w:asciiTheme="majorHAnsi" w:hAnsiTheme="majorHAnsi"/>
          <w:sz w:val="24"/>
          <w:szCs w:val="24"/>
          <w:lang w:val="en-US"/>
        </w:rPr>
        <w:t xml:space="preserve">. A monthly podcast containing tax justice news. </w:t>
      </w:r>
      <w:r w:rsidR="00E2745F">
        <w:rPr>
          <w:rFonts w:asciiTheme="majorHAnsi" w:hAnsiTheme="majorHAnsi"/>
          <w:sz w:val="24"/>
          <w:szCs w:val="24"/>
          <w:lang w:val="en-US"/>
        </w:rPr>
        <w:t xml:space="preserve"> </w:t>
      </w:r>
      <w:hyperlink r:id="rId26" w:history="1">
        <w:r w:rsidR="00E2745F" w:rsidRPr="007354ED">
          <w:rPr>
            <w:rStyle w:val="Hyperlink"/>
            <w:rFonts w:asciiTheme="majorHAnsi" w:hAnsiTheme="majorHAnsi"/>
            <w:sz w:val="24"/>
            <w:szCs w:val="24"/>
            <w:lang w:val="en-US"/>
          </w:rPr>
          <w:t>http://www.taxjustice.net/taxcast/</w:t>
        </w:r>
      </w:hyperlink>
      <w:r w:rsidR="00E2745F">
        <w:rPr>
          <w:rFonts w:asciiTheme="majorHAnsi" w:hAnsiTheme="majorHAnsi"/>
          <w:sz w:val="24"/>
          <w:szCs w:val="24"/>
          <w:lang w:val="en-US"/>
        </w:rPr>
        <w:t xml:space="preserve"> </w:t>
      </w:r>
    </w:p>
    <w:p w14:paraId="56107081" w14:textId="77777777" w:rsidR="00AB02A7" w:rsidRPr="00447A30" w:rsidRDefault="00AB02A7" w:rsidP="00AB02A7">
      <w:pPr>
        <w:rPr>
          <w:rFonts w:asciiTheme="majorHAnsi" w:hAnsiTheme="majorHAnsi"/>
          <w:sz w:val="24"/>
          <w:szCs w:val="24"/>
          <w:lang w:val="en-US"/>
        </w:rPr>
      </w:pPr>
      <w:r w:rsidRPr="00E2745F">
        <w:rPr>
          <w:rFonts w:asciiTheme="majorHAnsi" w:hAnsiTheme="majorHAnsi"/>
          <w:b/>
          <w:sz w:val="24"/>
          <w:szCs w:val="24"/>
          <w:lang w:val="en-US"/>
        </w:rPr>
        <w:t>Financial Secrecy Index</w:t>
      </w:r>
      <w:r w:rsidRPr="00447A30">
        <w:rPr>
          <w:rFonts w:asciiTheme="majorHAnsi" w:hAnsiTheme="majorHAnsi"/>
          <w:sz w:val="24"/>
          <w:szCs w:val="24"/>
          <w:lang w:val="en-US"/>
        </w:rPr>
        <w:t>, a ranking of countries according to a secrecy score and a scale weight, produced every two years.</w:t>
      </w:r>
      <w:r>
        <w:rPr>
          <w:rFonts w:asciiTheme="majorHAnsi" w:hAnsiTheme="majorHAnsi"/>
          <w:sz w:val="24"/>
          <w:szCs w:val="24"/>
          <w:lang w:val="en-US"/>
        </w:rPr>
        <w:t xml:space="preserve"> </w:t>
      </w:r>
      <w:hyperlink r:id="rId27" w:history="1">
        <w:r w:rsidRPr="007354ED">
          <w:rPr>
            <w:rStyle w:val="Hyperlink"/>
            <w:rFonts w:asciiTheme="majorHAnsi" w:hAnsiTheme="majorHAnsi"/>
            <w:sz w:val="24"/>
            <w:szCs w:val="24"/>
            <w:lang w:val="en-US"/>
          </w:rPr>
          <w:t>http://www.financialsecrecyindex.com</w:t>
        </w:r>
      </w:hyperlink>
      <w:r>
        <w:rPr>
          <w:rFonts w:asciiTheme="majorHAnsi" w:hAnsiTheme="majorHAnsi"/>
          <w:sz w:val="24"/>
          <w:szCs w:val="24"/>
          <w:lang w:val="en-US"/>
        </w:rPr>
        <w:t xml:space="preserve"> </w:t>
      </w:r>
    </w:p>
    <w:p w14:paraId="656DAB3C" w14:textId="7C4ECF4C" w:rsidR="00AB02A7" w:rsidRPr="00AB02A7" w:rsidRDefault="00AB02A7" w:rsidP="002C5135">
      <w:pPr>
        <w:rPr>
          <w:rFonts w:asciiTheme="majorHAnsi" w:hAnsiTheme="majorHAnsi"/>
          <w:sz w:val="24"/>
          <w:szCs w:val="24"/>
          <w:lang w:val="en-US"/>
        </w:rPr>
      </w:pPr>
      <w:r>
        <w:rPr>
          <w:rFonts w:asciiTheme="majorHAnsi" w:hAnsiTheme="majorHAnsi"/>
          <w:b/>
          <w:sz w:val="24"/>
          <w:szCs w:val="24"/>
          <w:lang w:val="en-US"/>
        </w:rPr>
        <w:t xml:space="preserve">Research reports. </w:t>
      </w:r>
      <w:r>
        <w:rPr>
          <w:rFonts w:asciiTheme="majorHAnsi" w:hAnsiTheme="majorHAnsi"/>
          <w:sz w:val="24"/>
          <w:szCs w:val="24"/>
          <w:lang w:val="en-US"/>
        </w:rPr>
        <w:t xml:space="preserve">See </w:t>
      </w:r>
      <w:hyperlink r:id="rId28" w:history="1">
        <w:r w:rsidRPr="007354ED">
          <w:rPr>
            <w:rStyle w:val="Hyperlink"/>
            <w:rFonts w:asciiTheme="majorHAnsi" w:hAnsiTheme="majorHAnsi"/>
            <w:sz w:val="24"/>
            <w:szCs w:val="24"/>
            <w:lang w:val="en-US"/>
          </w:rPr>
          <w:t>http://www.taxjustice.net/reports-2/</w:t>
        </w:r>
      </w:hyperlink>
      <w:r>
        <w:rPr>
          <w:rFonts w:asciiTheme="majorHAnsi" w:hAnsiTheme="majorHAnsi"/>
          <w:sz w:val="24"/>
          <w:szCs w:val="24"/>
          <w:lang w:val="en-US"/>
        </w:rPr>
        <w:t xml:space="preserve"> </w:t>
      </w:r>
    </w:p>
    <w:p w14:paraId="5CF3227B" w14:textId="23C8B252" w:rsidR="00793498" w:rsidRPr="00447A30" w:rsidRDefault="00793498" w:rsidP="002C5135">
      <w:pPr>
        <w:rPr>
          <w:rFonts w:asciiTheme="majorHAnsi" w:hAnsiTheme="majorHAnsi"/>
          <w:sz w:val="24"/>
          <w:szCs w:val="24"/>
          <w:lang w:val="en-US"/>
        </w:rPr>
      </w:pPr>
      <w:r w:rsidRPr="00E2745F">
        <w:rPr>
          <w:rFonts w:asciiTheme="majorHAnsi" w:hAnsiTheme="majorHAnsi"/>
          <w:b/>
          <w:sz w:val="24"/>
          <w:szCs w:val="24"/>
          <w:lang w:val="en-US"/>
        </w:rPr>
        <w:t>Treasure Islands: Tax Havens and the Men Who Stole the World</w:t>
      </w:r>
      <w:r w:rsidRPr="00447A30">
        <w:rPr>
          <w:rFonts w:asciiTheme="majorHAnsi" w:hAnsiTheme="majorHAnsi"/>
          <w:sz w:val="24"/>
          <w:szCs w:val="24"/>
          <w:lang w:val="en-US"/>
        </w:rPr>
        <w:t>,</w:t>
      </w:r>
      <w:r w:rsidR="00E2745F">
        <w:rPr>
          <w:rFonts w:asciiTheme="majorHAnsi" w:hAnsiTheme="majorHAnsi"/>
          <w:sz w:val="24"/>
          <w:szCs w:val="24"/>
          <w:lang w:val="en-US"/>
        </w:rPr>
        <w:t xml:space="preserve"> Nicholas Shaxson’s primer on tax havens, a book supported by TJN. </w:t>
      </w:r>
      <w:r w:rsidR="00AB02A7" w:rsidRPr="00AB02A7">
        <w:rPr>
          <w:rFonts w:asciiTheme="majorHAnsi" w:hAnsiTheme="majorHAnsi"/>
          <w:i/>
          <w:sz w:val="24"/>
          <w:szCs w:val="24"/>
          <w:lang w:val="en-US"/>
        </w:rPr>
        <w:t>(“A fascinating, chilling book</w:t>
      </w:r>
      <w:r w:rsidR="00AB02A7">
        <w:rPr>
          <w:rFonts w:asciiTheme="majorHAnsi" w:hAnsiTheme="majorHAnsi"/>
          <w:sz w:val="24"/>
          <w:szCs w:val="24"/>
          <w:lang w:val="en-US"/>
        </w:rPr>
        <w:t xml:space="preserve">” – Paul Krugman) </w:t>
      </w:r>
      <w:hyperlink r:id="rId29" w:history="1">
        <w:r w:rsidR="00AB02A7" w:rsidRPr="007354ED">
          <w:rPr>
            <w:rStyle w:val="Hyperlink"/>
            <w:rFonts w:asciiTheme="majorHAnsi" w:hAnsiTheme="majorHAnsi"/>
            <w:sz w:val="24"/>
            <w:szCs w:val="24"/>
            <w:lang w:val="en-US"/>
          </w:rPr>
          <w:t>http://treasureislands.org/praise-for-the-book/</w:t>
        </w:r>
      </w:hyperlink>
      <w:r w:rsidR="00AB02A7">
        <w:rPr>
          <w:rFonts w:asciiTheme="majorHAnsi" w:hAnsiTheme="majorHAnsi"/>
          <w:sz w:val="24"/>
          <w:szCs w:val="24"/>
          <w:lang w:val="en-US"/>
        </w:rPr>
        <w:t xml:space="preserve"> </w:t>
      </w:r>
    </w:p>
    <w:p w14:paraId="75CB8237" w14:textId="32C4F315" w:rsidR="00F35E15" w:rsidRPr="00447A30" w:rsidRDefault="00793498" w:rsidP="002C5135">
      <w:pPr>
        <w:rPr>
          <w:rFonts w:asciiTheme="majorHAnsi" w:hAnsiTheme="majorHAnsi"/>
          <w:b/>
          <w:sz w:val="24"/>
          <w:szCs w:val="24"/>
          <w:lang w:val="en-US"/>
        </w:rPr>
      </w:pPr>
      <w:r w:rsidRPr="00447A30">
        <w:rPr>
          <w:rFonts w:asciiTheme="majorHAnsi" w:hAnsiTheme="majorHAnsi"/>
          <w:b/>
          <w:sz w:val="24"/>
          <w:szCs w:val="24"/>
          <w:lang w:val="en-US"/>
        </w:rPr>
        <w:t>Uncounted</w:t>
      </w:r>
      <w:r w:rsidR="00AD3C35">
        <w:rPr>
          <w:rFonts w:asciiTheme="majorHAnsi" w:hAnsiTheme="majorHAnsi"/>
          <w:b/>
          <w:sz w:val="24"/>
          <w:szCs w:val="24"/>
          <w:lang w:val="en-US"/>
        </w:rPr>
        <w:t xml:space="preserve">.  </w:t>
      </w:r>
      <w:r w:rsidR="00AD3C35" w:rsidRPr="00AD3C35">
        <w:rPr>
          <w:rFonts w:asciiTheme="majorHAnsi" w:hAnsiTheme="majorHAnsi"/>
          <w:sz w:val="24"/>
          <w:szCs w:val="24"/>
          <w:lang w:val="en-US"/>
        </w:rPr>
        <w:t>A blog on power and inequality run by TJN’s Research Director, Alex Cobham</w:t>
      </w:r>
      <w:r w:rsidR="00AD3C35">
        <w:rPr>
          <w:rFonts w:asciiTheme="majorHAnsi" w:hAnsiTheme="majorHAnsi"/>
          <w:sz w:val="24"/>
          <w:szCs w:val="24"/>
          <w:lang w:val="en-US"/>
        </w:rPr>
        <w:t xml:space="preserve">. </w:t>
      </w:r>
      <w:hyperlink r:id="rId30" w:history="1">
        <w:r w:rsidR="00AD3C35" w:rsidRPr="007354ED">
          <w:rPr>
            <w:rStyle w:val="Hyperlink"/>
            <w:rFonts w:asciiTheme="majorHAnsi" w:hAnsiTheme="majorHAnsi"/>
            <w:sz w:val="24"/>
            <w:szCs w:val="24"/>
            <w:lang w:val="en-US"/>
          </w:rPr>
          <w:t>http://uncounted.org</w:t>
        </w:r>
      </w:hyperlink>
      <w:r w:rsidR="00AD3C35">
        <w:rPr>
          <w:rFonts w:asciiTheme="majorHAnsi" w:hAnsiTheme="majorHAnsi"/>
          <w:sz w:val="24"/>
          <w:szCs w:val="24"/>
          <w:lang w:val="en-US"/>
        </w:rPr>
        <w:t xml:space="preserve"> </w:t>
      </w:r>
    </w:p>
    <w:p w14:paraId="59A31188" w14:textId="2CDFDC76" w:rsidR="00AD3C35" w:rsidRDefault="00AD3C35" w:rsidP="002C5135">
      <w:pPr>
        <w:rPr>
          <w:rFonts w:asciiTheme="majorHAnsi" w:hAnsiTheme="majorHAnsi"/>
          <w:sz w:val="24"/>
          <w:szCs w:val="24"/>
          <w:lang w:val="en-US"/>
        </w:rPr>
      </w:pPr>
      <w:r w:rsidRPr="00AD3C35">
        <w:rPr>
          <w:rFonts w:asciiTheme="majorHAnsi" w:hAnsiTheme="majorHAnsi"/>
          <w:b/>
          <w:sz w:val="24"/>
          <w:szCs w:val="24"/>
          <w:lang w:val="en-US"/>
        </w:rPr>
        <w:t>Annual research workshop</w:t>
      </w:r>
      <w:r>
        <w:rPr>
          <w:rFonts w:asciiTheme="majorHAnsi" w:hAnsiTheme="majorHAnsi"/>
          <w:sz w:val="24"/>
          <w:szCs w:val="24"/>
          <w:lang w:val="en-US"/>
        </w:rPr>
        <w:t>. TJN runs an annual research workshop in partnership with the Association for Accountancy and Business Affairs (AABA).</w:t>
      </w:r>
      <w:r>
        <w:rPr>
          <w:rStyle w:val="EndnoteReference"/>
          <w:rFonts w:asciiTheme="majorHAnsi" w:hAnsiTheme="majorHAnsi"/>
          <w:sz w:val="24"/>
          <w:szCs w:val="24"/>
          <w:lang w:val="en-US"/>
        </w:rPr>
        <w:endnoteReference w:id="14"/>
      </w:r>
    </w:p>
    <w:p w14:paraId="6B8836D5" w14:textId="5C15014D" w:rsidR="00F35E15" w:rsidRPr="00447A30" w:rsidRDefault="00F35E15" w:rsidP="002C5135">
      <w:pPr>
        <w:rPr>
          <w:rFonts w:asciiTheme="majorHAnsi" w:hAnsiTheme="majorHAnsi"/>
          <w:sz w:val="24"/>
          <w:szCs w:val="24"/>
          <w:lang w:val="en-US"/>
        </w:rPr>
      </w:pPr>
      <w:r w:rsidRPr="00447A30">
        <w:rPr>
          <w:rFonts w:asciiTheme="majorHAnsi" w:hAnsiTheme="majorHAnsi"/>
          <w:sz w:val="24"/>
          <w:szCs w:val="24"/>
          <w:lang w:val="en-US"/>
        </w:rPr>
        <w:t>Membership in (EU commission expert groupings, TIWB, etc etc)</w:t>
      </w:r>
      <w:r w:rsidR="00AD3C35">
        <w:rPr>
          <w:rFonts w:asciiTheme="majorHAnsi" w:hAnsiTheme="majorHAnsi"/>
          <w:sz w:val="24"/>
          <w:szCs w:val="24"/>
          <w:lang w:val="en-US"/>
        </w:rPr>
        <w:t xml:space="preserve"> MARKUS TO PROVIDE DETAILS. </w:t>
      </w:r>
    </w:p>
    <w:p w14:paraId="796A84B5" w14:textId="77777777" w:rsidR="00F35E15" w:rsidRPr="00447A30" w:rsidRDefault="00F35E15" w:rsidP="002C5135">
      <w:pPr>
        <w:rPr>
          <w:rFonts w:asciiTheme="majorHAnsi" w:hAnsiTheme="majorHAnsi"/>
          <w:sz w:val="24"/>
          <w:szCs w:val="24"/>
          <w:lang w:val="en-US"/>
        </w:rPr>
      </w:pPr>
    </w:p>
    <w:sectPr w:rsidR="00F35E15" w:rsidRPr="00447A30" w:rsidSect="002871C9">
      <w:footerReference w:type="default" r:id="rId31"/>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9DB78" w14:textId="77777777" w:rsidR="002816A5" w:rsidRDefault="002816A5" w:rsidP="00CC2277">
      <w:pPr>
        <w:spacing w:after="0" w:line="240" w:lineRule="auto"/>
      </w:pPr>
      <w:r>
        <w:separator/>
      </w:r>
    </w:p>
  </w:endnote>
  <w:endnote w:type="continuationSeparator" w:id="0">
    <w:p w14:paraId="442DB42B" w14:textId="77777777" w:rsidR="002816A5" w:rsidRDefault="002816A5" w:rsidP="00CC2277">
      <w:pPr>
        <w:spacing w:after="0" w:line="240" w:lineRule="auto"/>
      </w:pPr>
      <w:r>
        <w:continuationSeparator/>
      </w:r>
    </w:p>
  </w:endnote>
  <w:endnote w:id="1">
    <w:p w14:paraId="324771D3" w14:textId="71492C2D" w:rsidR="002816A5" w:rsidRPr="005202FD" w:rsidRDefault="002816A5">
      <w:pPr>
        <w:pStyle w:val="EndnoteText"/>
        <w:rPr>
          <w:lang w:val="en-US"/>
        </w:rPr>
      </w:pPr>
      <w:r>
        <w:rPr>
          <w:rStyle w:val="EndnoteReference"/>
        </w:rPr>
        <w:endnoteRef/>
      </w:r>
      <w:r>
        <w:t xml:space="preserve"> See </w:t>
      </w:r>
      <w:hyperlink r:id="rId1" w:history="1">
        <w:r w:rsidRPr="007354ED">
          <w:rPr>
            <w:rStyle w:val="Hyperlink"/>
          </w:rPr>
          <w:t>http://www.taxjustice.net/reports-2/</w:t>
        </w:r>
      </w:hyperlink>
      <w:r>
        <w:t xml:space="preserve"> for the research reports, and see the blog at </w:t>
      </w:r>
      <w:hyperlink r:id="rId2" w:history="1">
        <w:r w:rsidRPr="007354ED">
          <w:rPr>
            <w:rStyle w:val="Hyperlink"/>
          </w:rPr>
          <w:t>www.taxjustice.net</w:t>
        </w:r>
      </w:hyperlink>
      <w:r>
        <w:t xml:space="preserve"> for the full range of outputs including less technical materials. </w:t>
      </w:r>
    </w:p>
  </w:endnote>
  <w:endnote w:id="2">
    <w:p w14:paraId="4AE3C9C6" w14:textId="635D5AC6" w:rsidR="002816A5" w:rsidRPr="000E720A" w:rsidRDefault="002816A5">
      <w:pPr>
        <w:pStyle w:val="EndnoteText"/>
        <w:rPr>
          <w:lang w:val="en-US"/>
        </w:rPr>
      </w:pPr>
      <w:r>
        <w:rPr>
          <w:rStyle w:val="EndnoteReference"/>
        </w:rPr>
        <w:endnoteRef/>
      </w:r>
      <w:r>
        <w:t xml:space="preserve"> See </w:t>
      </w:r>
      <w:hyperlink r:id="rId3" w:history="1">
        <w:r w:rsidRPr="007354ED">
          <w:rPr>
            <w:rStyle w:val="Hyperlink"/>
          </w:rPr>
          <w:t>http://www.financeuncovered.org</w:t>
        </w:r>
      </w:hyperlink>
      <w:r>
        <w:t xml:space="preserve"> also see </w:t>
      </w:r>
      <w:hyperlink r:id="rId4" w:history="1">
        <w:r w:rsidRPr="007354ED">
          <w:rPr>
            <w:rStyle w:val="Hyperlink"/>
          </w:rPr>
          <w:t>http://www.taxjustice.net/about/who-we-are/goals/</w:t>
        </w:r>
      </w:hyperlink>
      <w:r>
        <w:t xml:space="preserve"> for some examples of ‚start-up’ activity.</w:t>
      </w:r>
    </w:p>
  </w:endnote>
  <w:endnote w:id="3">
    <w:p w14:paraId="070A27B5" w14:textId="4746BB43" w:rsidR="002816A5" w:rsidRPr="00A475BF" w:rsidRDefault="002816A5">
      <w:pPr>
        <w:pStyle w:val="EndnoteText"/>
        <w:rPr>
          <w:lang w:val="en-US"/>
        </w:rPr>
      </w:pPr>
      <w:r>
        <w:rPr>
          <w:rStyle w:val="EndnoteReference"/>
        </w:rPr>
        <w:endnoteRef/>
      </w:r>
      <w:r>
        <w:t xml:space="preserve"> </w:t>
      </w:r>
      <w:r>
        <w:rPr>
          <w:lang w:val="en-US"/>
        </w:rPr>
        <w:t xml:space="preserve">See </w:t>
      </w:r>
      <w:hyperlink r:id="rId5" w:history="1">
        <w:r w:rsidRPr="007354ED">
          <w:rPr>
            <w:rStyle w:val="Hyperlink"/>
            <w:lang w:val="en-US"/>
          </w:rPr>
          <w:t>http://www.fairtaxmark.net/who-we-are/</w:t>
        </w:r>
      </w:hyperlink>
      <w:r>
        <w:rPr>
          <w:lang w:val="en-US"/>
        </w:rPr>
        <w:t xml:space="preserve"> </w:t>
      </w:r>
    </w:p>
  </w:endnote>
  <w:endnote w:id="4">
    <w:p w14:paraId="31735AD0" w14:textId="11C7B639" w:rsidR="002816A5" w:rsidRPr="00EF7BE2" w:rsidRDefault="002816A5">
      <w:pPr>
        <w:pStyle w:val="EndnoteText"/>
        <w:rPr>
          <w:lang w:val="en-US"/>
        </w:rPr>
      </w:pPr>
      <w:r>
        <w:rPr>
          <w:rStyle w:val="EndnoteReference"/>
        </w:rPr>
        <w:endnoteRef/>
      </w:r>
      <w:r>
        <w:t xml:space="preserve"> </w:t>
      </w:r>
      <w:hyperlink r:id="rId6" w:history="1">
        <w:r w:rsidRPr="007354ED">
          <w:rPr>
            <w:rStyle w:val="Hyperlink"/>
          </w:rPr>
          <w:t>http://www2.warwick.ac.uk/fac/soc/pais/research/researchcentres/csgr/green/newsandevents/houseoflords/activating_networks_on_taxation_issue_entrepreneurs_and_policy_catalyzation_seabrooke_and_wigan_2014.pdf</w:t>
        </w:r>
      </w:hyperlink>
      <w:r>
        <w:t xml:space="preserve"> </w:t>
      </w:r>
    </w:p>
  </w:endnote>
  <w:endnote w:id="5">
    <w:p w14:paraId="77895F74" w14:textId="1F7F7F5B" w:rsidR="002816A5" w:rsidRPr="00EF7BE2" w:rsidRDefault="002816A5">
      <w:pPr>
        <w:pStyle w:val="EndnoteText"/>
        <w:rPr>
          <w:lang w:val="en-US"/>
        </w:rPr>
      </w:pPr>
      <w:r>
        <w:rPr>
          <w:rStyle w:val="EndnoteReference"/>
        </w:rPr>
        <w:endnoteRef/>
      </w:r>
      <w:r>
        <w:t xml:space="preserve"> </w:t>
      </w:r>
      <w:r>
        <w:rPr>
          <w:lang w:val="en-US"/>
        </w:rPr>
        <w:t>For instance, the Taxcast run by Naomi Fowler; The Fools’ Gold blog and Treasure Islands blog; run by Nicholas Shaxson; and “Uncounted” run by Alex Cobham.</w:t>
      </w:r>
    </w:p>
  </w:endnote>
  <w:endnote w:id="6">
    <w:p w14:paraId="425E5FED" w14:textId="77777777" w:rsidR="002816A5" w:rsidRDefault="002816A5" w:rsidP="00200896">
      <w:pPr>
        <w:rPr>
          <w:lang w:val="en-GB"/>
        </w:rPr>
      </w:pPr>
      <w:r>
        <w:rPr>
          <w:rStyle w:val="EndnoteReference"/>
        </w:rPr>
        <w:endnoteRef/>
      </w:r>
      <w:r>
        <w:t xml:space="preserve"> </w:t>
      </w:r>
      <w:r>
        <w:rPr>
          <w:lang w:val="en-US"/>
        </w:rPr>
        <w:t xml:space="preserve">E.G. </w:t>
      </w:r>
      <w:hyperlink r:id="rId7" w:history="1">
        <w:r w:rsidRPr="007354ED">
          <w:rPr>
            <w:rStyle w:val="Hyperlink"/>
            <w:lang w:val="en-GB"/>
          </w:rPr>
          <w:t>http://www.taxjustice.net/wp-content/uploads/2013/04/TJN-Spencer-Sept-2007-Rome-experts.pdf</w:t>
        </w:r>
      </w:hyperlink>
    </w:p>
    <w:p w14:paraId="3992F05F" w14:textId="77777777" w:rsidR="002816A5" w:rsidRDefault="002816A5" w:rsidP="00200896">
      <w:pPr>
        <w:rPr>
          <w:lang w:val="en-GB"/>
        </w:rPr>
      </w:pPr>
      <w:hyperlink r:id="rId8" w:history="1">
        <w:r w:rsidRPr="007354ED">
          <w:rPr>
            <w:rStyle w:val="Hyperlink"/>
            <w:lang w:val="en-GB"/>
          </w:rPr>
          <w:t>http://www.oecd.org/tax/transparency/automaticexchangeofinformation.htm</w:t>
        </w:r>
      </w:hyperlink>
    </w:p>
    <w:p w14:paraId="551C4E38" w14:textId="77777777" w:rsidR="002816A5" w:rsidRDefault="002816A5" w:rsidP="00200896">
      <w:pPr>
        <w:rPr>
          <w:lang w:val="en-GB"/>
        </w:rPr>
      </w:pPr>
      <w:hyperlink r:id="rId9" w:history="1">
        <w:r w:rsidRPr="007354ED">
          <w:rPr>
            <w:rStyle w:val="Hyperlink"/>
            <w:lang w:val="en-GB"/>
          </w:rPr>
          <w:t>http://www.g20.utoronto.ca/2016/160227-finance-en.html</w:t>
        </w:r>
      </w:hyperlink>
    </w:p>
    <w:p w14:paraId="7A9D3F46" w14:textId="02FFAA10" w:rsidR="002816A5" w:rsidRPr="00200896" w:rsidRDefault="002816A5" w:rsidP="00200896">
      <w:pPr>
        <w:pStyle w:val="EndnoteText"/>
        <w:rPr>
          <w:lang w:val="en-US"/>
        </w:rPr>
      </w:pPr>
      <w:hyperlink r:id="rId10" w:history="1">
        <w:r w:rsidRPr="007354ED">
          <w:rPr>
            <w:rStyle w:val="Hyperlink"/>
            <w:lang w:val="en-GB"/>
          </w:rPr>
          <w:t>http://www.taxjustice.net/wp-content/uploads/2013/04/BMG-on-BEPS-150505.pdf</w:t>
        </w:r>
      </w:hyperlink>
      <w:r>
        <w:rPr>
          <w:lang w:val="en-GB"/>
        </w:rPr>
        <w:t xml:space="preserve"> </w:t>
      </w:r>
    </w:p>
  </w:endnote>
  <w:endnote w:id="7">
    <w:p w14:paraId="6036C37A" w14:textId="77777777" w:rsidR="002816A5" w:rsidRDefault="002816A5" w:rsidP="00200896">
      <w:pPr>
        <w:pStyle w:val="EndnoteText"/>
      </w:pPr>
      <w:r>
        <w:rPr>
          <w:rStyle w:val="EndnoteReference"/>
        </w:rPr>
        <w:endnoteRef/>
      </w:r>
      <w:r>
        <w:t xml:space="preserve"> </w:t>
      </w:r>
      <w:hyperlink r:id="rId11" w:history="1">
        <w:r w:rsidRPr="007354ED">
          <w:rPr>
            <w:rStyle w:val="Hyperlink"/>
          </w:rPr>
          <w:t>http://www.economist.com/news/finance-and-economics/21677647-index-financial-secrecy-highlights-american-hypocrisy-mega-haven</w:t>
        </w:r>
      </w:hyperlink>
      <w:r>
        <w:t xml:space="preserve"> </w:t>
      </w:r>
    </w:p>
    <w:p w14:paraId="2FF60C44" w14:textId="77777777" w:rsidR="002816A5" w:rsidRDefault="002816A5" w:rsidP="00200896">
      <w:pPr>
        <w:pStyle w:val="EndnoteText"/>
        <w:rPr>
          <w:lang w:val="en-US"/>
        </w:rPr>
      </w:pPr>
      <w:hyperlink r:id="rId12" w:history="1">
        <w:r w:rsidRPr="007354ED">
          <w:rPr>
            <w:rStyle w:val="Hyperlink"/>
            <w:lang w:val="en-US"/>
          </w:rPr>
          <w:t>http://www.taxjustice.net/2015/06/08/tjn-in-the-economist-on-the-precious-corporate-income-tax/</w:t>
        </w:r>
      </w:hyperlink>
    </w:p>
    <w:p w14:paraId="0D416A97" w14:textId="77777777" w:rsidR="002816A5" w:rsidRDefault="002816A5" w:rsidP="00200896">
      <w:pPr>
        <w:pStyle w:val="EndnoteText"/>
        <w:rPr>
          <w:lang w:val="en-US"/>
        </w:rPr>
      </w:pPr>
      <w:r>
        <w:rPr>
          <w:lang w:val="en-US"/>
        </w:rPr>
        <w:t>and</w:t>
      </w:r>
    </w:p>
    <w:p w14:paraId="21A2ED30" w14:textId="77777777" w:rsidR="002816A5" w:rsidRDefault="002816A5" w:rsidP="00200896">
      <w:pPr>
        <w:pStyle w:val="EndnoteText"/>
        <w:rPr>
          <w:lang w:val="en-US"/>
        </w:rPr>
      </w:pPr>
      <w:hyperlink r:id="rId13" w:history="1">
        <w:r w:rsidRPr="007354ED">
          <w:rPr>
            <w:rStyle w:val="Hyperlink"/>
            <w:lang w:val="en-US"/>
          </w:rPr>
          <w:t>http://www.economist.com/news/international/21693219-having-launched-and-led-battle-against-offshore-tax-evasion-america-now-part</w:t>
        </w:r>
      </w:hyperlink>
    </w:p>
    <w:p w14:paraId="0272051C" w14:textId="77777777" w:rsidR="002816A5" w:rsidRDefault="002816A5" w:rsidP="00200896">
      <w:pPr>
        <w:pStyle w:val="EndnoteText"/>
        <w:rPr>
          <w:lang w:val="en-US"/>
        </w:rPr>
      </w:pPr>
      <w:r>
        <w:rPr>
          <w:lang w:val="en-US"/>
        </w:rPr>
        <w:t>and</w:t>
      </w:r>
    </w:p>
    <w:p w14:paraId="6B3ABF43" w14:textId="77777777" w:rsidR="002816A5" w:rsidRDefault="002816A5" w:rsidP="00200896">
      <w:pPr>
        <w:pStyle w:val="EndnoteText"/>
        <w:rPr>
          <w:lang w:val="en-US"/>
        </w:rPr>
      </w:pPr>
      <w:hyperlink r:id="rId14" w:history="1">
        <w:r w:rsidRPr="007354ED">
          <w:rPr>
            <w:rStyle w:val="Hyperlink"/>
            <w:lang w:val="en-US"/>
          </w:rPr>
          <w:t>http://taxjustice.blogspot.de/2013/02/new-tax-haven-cover-story-in-economist.html</w:t>
        </w:r>
      </w:hyperlink>
    </w:p>
    <w:p w14:paraId="47C8611B" w14:textId="77777777" w:rsidR="002816A5" w:rsidRPr="00793498" w:rsidRDefault="002816A5" w:rsidP="00200896">
      <w:pPr>
        <w:pStyle w:val="EndnoteText"/>
        <w:rPr>
          <w:lang w:val="en-US"/>
        </w:rPr>
      </w:pPr>
    </w:p>
  </w:endnote>
  <w:endnote w:id="8">
    <w:p w14:paraId="239D6B9E" w14:textId="77777777" w:rsidR="002816A5" w:rsidRDefault="002816A5" w:rsidP="000E720A">
      <w:pPr>
        <w:pStyle w:val="EndnoteText"/>
      </w:pPr>
      <w:r>
        <w:rPr>
          <w:rStyle w:val="EndnoteReference"/>
        </w:rPr>
        <w:endnoteRef/>
      </w:r>
      <w:r>
        <w:t xml:space="preserve"> </w:t>
      </w:r>
      <w:hyperlink r:id="rId15" w:history="1">
        <w:r w:rsidRPr="007354ED">
          <w:rPr>
            <w:rStyle w:val="Hyperlink"/>
          </w:rPr>
          <w:t>http://www.ft.com/intl/cms/s/0/872d8f84-c2ba-11e5-b3b1-7b2481276e45.html</w:t>
        </w:r>
      </w:hyperlink>
    </w:p>
    <w:p w14:paraId="69364425" w14:textId="77777777" w:rsidR="002816A5" w:rsidRDefault="002816A5" w:rsidP="000E720A">
      <w:pPr>
        <w:pStyle w:val="EndnoteText"/>
      </w:pPr>
      <w:r>
        <w:t>and</w:t>
      </w:r>
    </w:p>
    <w:p w14:paraId="61E11EAC" w14:textId="77777777" w:rsidR="002816A5" w:rsidRDefault="002816A5" w:rsidP="000E720A">
      <w:pPr>
        <w:pStyle w:val="EndnoteText"/>
        <w:rPr>
          <w:lang w:val="en-US"/>
        </w:rPr>
      </w:pPr>
      <w:hyperlink r:id="rId16" w:anchor="axzz41jMHCTkS" w:history="1">
        <w:r w:rsidRPr="007354ED">
          <w:rPr>
            <w:rStyle w:val="Hyperlink"/>
            <w:lang w:val="en-US"/>
          </w:rPr>
          <w:t>http://www.ft.com/cms/s/0/5bbc1c6c-9cf9-11e5-b45d-4812f209f861.html#axzz41jMHCTkS</w:t>
        </w:r>
      </w:hyperlink>
    </w:p>
    <w:p w14:paraId="1462A785" w14:textId="77777777" w:rsidR="002816A5" w:rsidRDefault="002816A5" w:rsidP="000E720A">
      <w:pPr>
        <w:pStyle w:val="EndnoteText"/>
        <w:rPr>
          <w:lang w:val="en-US"/>
        </w:rPr>
      </w:pPr>
      <w:r>
        <w:rPr>
          <w:lang w:val="en-US"/>
        </w:rPr>
        <w:t>and</w:t>
      </w:r>
    </w:p>
    <w:p w14:paraId="27C15689" w14:textId="77777777" w:rsidR="002816A5" w:rsidRDefault="002816A5" w:rsidP="000E720A">
      <w:pPr>
        <w:pStyle w:val="EndnoteText"/>
        <w:rPr>
          <w:lang w:val="en-US"/>
        </w:rPr>
      </w:pPr>
      <w:hyperlink r:id="rId17" w:anchor="axzz41jMHCTkS" w:history="1">
        <w:r w:rsidRPr="007354ED">
          <w:rPr>
            <w:rStyle w:val="Hyperlink"/>
            <w:lang w:val="en-US"/>
          </w:rPr>
          <w:t>http://www.ft.com/cms/s/0/b0e15eda-8248-11e5-8095-ed1a37d1e096.html#axzz41jMHCTkS</w:t>
        </w:r>
      </w:hyperlink>
    </w:p>
    <w:p w14:paraId="3F21889B" w14:textId="77777777" w:rsidR="002816A5" w:rsidRDefault="002816A5" w:rsidP="000E720A">
      <w:pPr>
        <w:pStyle w:val="EndnoteText"/>
        <w:rPr>
          <w:lang w:val="en-US"/>
        </w:rPr>
      </w:pPr>
      <w:r>
        <w:rPr>
          <w:lang w:val="en-US"/>
        </w:rPr>
        <w:t xml:space="preserve">and </w:t>
      </w:r>
    </w:p>
    <w:p w14:paraId="04827D0D" w14:textId="77777777" w:rsidR="002816A5" w:rsidRPr="00FF5D92" w:rsidRDefault="002816A5" w:rsidP="000E720A">
      <w:pPr>
        <w:pStyle w:val="EndnoteText"/>
        <w:rPr>
          <w:lang w:val="en-US"/>
        </w:rPr>
      </w:pPr>
      <w:hyperlink r:id="rId18" w:anchor="axzz41jMHCTkS" w:history="1">
        <w:r w:rsidRPr="007354ED">
          <w:rPr>
            <w:rStyle w:val="Hyperlink"/>
            <w:lang w:val="en-US"/>
          </w:rPr>
          <w:t>http://www.ft.com/cms/s/0/d424f3a0-c831-11e5-be0b-b7ece4e953a0.html#axzz41jMHCTkS</w:t>
        </w:r>
      </w:hyperlink>
      <w:r>
        <w:rPr>
          <w:lang w:val="en-US"/>
        </w:rPr>
        <w:t xml:space="preserve"> </w:t>
      </w:r>
    </w:p>
  </w:endnote>
  <w:endnote w:id="9">
    <w:p w14:paraId="6DC12BFA" w14:textId="77777777" w:rsidR="002816A5" w:rsidRDefault="002816A5" w:rsidP="000E720A">
      <w:pPr>
        <w:pStyle w:val="EndnoteText"/>
      </w:pPr>
      <w:r>
        <w:rPr>
          <w:rStyle w:val="EndnoteReference"/>
        </w:rPr>
        <w:endnoteRef/>
      </w:r>
      <w:r>
        <w:t xml:space="preserve"> e.g. </w:t>
      </w:r>
      <w:hyperlink r:id="rId19" w:history="1">
        <w:r w:rsidRPr="007354ED">
          <w:rPr>
            <w:rStyle w:val="Hyperlink"/>
          </w:rPr>
          <w:t>http://www.lemonde.fr/evasion-fiscale/article/2015/11/02/evasion-fiscale-le-palmares-des-pays-les-plus-opaques_4801671_4862750.html</w:t>
        </w:r>
      </w:hyperlink>
      <w:r>
        <w:t xml:space="preserve"> </w:t>
      </w:r>
    </w:p>
    <w:p w14:paraId="26C100AC" w14:textId="77777777" w:rsidR="002816A5" w:rsidRDefault="002816A5" w:rsidP="000E720A">
      <w:pPr>
        <w:pStyle w:val="EndnoteText"/>
      </w:pPr>
      <w:r>
        <w:t xml:space="preserve">or </w:t>
      </w:r>
    </w:p>
    <w:p w14:paraId="554391C9" w14:textId="77777777" w:rsidR="002816A5" w:rsidRPr="000E720A" w:rsidRDefault="002816A5" w:rsidP="000E720A">
      <w:pPr>
        <w:pStyle w:val="EndnoteText"/>
        <w:rPr>
          <w:lang w:val="en-US"/>
        </w:rPr>
      </w:pPr>
      <w:hyperlink r:id="rId20" w:history="1">
        <w:r w:rsidRPr="007354ED">
          <w:rPr>
            <w:rStyle w:val="Hyperlink"/>
            <w:lang w:val="en-US"/>
          </w:rPr>
          <w:t>http://www.lemonde.fr/evasion-fiscale/article/2015/11/10/des-entreprises-americaines-accusees-d-evasion-fiscale-en-france_4806383_4862750.html</w:t>
        </w:r>
      </w:hyperlink>
      <w:r>
        <w:rPr>
          <w:lang w:val="en-US"/>
        </w:rPr>
        <w:t xml:space="preserve"> </w:t>
      </w:r>
    </w:p>
  </w:endnote>
  <w:endnote w:id="10">
    <w:p w14:paraId="3E0CFD9B" w14:textId="33C437AB" w:rsidR="002816A5" w:rsidRPr="000E720A" w:rsidRDefault="002816A5">
      <w:pPr>
        <w:pStyle w:val="EndnoteText"/>
        <w:rPr>
          <w:lang w:val="en-US"/>
        </w:rPr>
      </w:pPr>
      <w:r>
        <w:rPr>
          <w:rStyle w:val="EndnoteReference"/>
        </w:rPr>
        <w:endnoteRef/>
      </w:r>
      <w:r>
        <w:t xml:space="preserve"> </w:t>
      </w:r>
      <w:r>
        <w:rPr>
          <w:lang w:val="en-US"/>
        </w:rPr>
        <w:t xml:space="preserve">e.g. </w:t>
      </w:r>
      <w:hyperlink r:id="rId21" w:history="1">
        <w:r w:rsidRPr="007354ED">
          <w:rPr>
            <w:rStyle w:val="Hyperlink"/>
            <w:lang w:val="en-US"/>
          </w:rPr>
          <w:t>http://www.spiegel.de/wirtschaft/service/steueroasen-tax-justice-network-warnt-vor-usa-a-1060189.html</w:t>
        </w:r>
      </w:hyperlink>
      <w:r>
        <w:rPr>
          <w:lang w:val="en-US"/>
        </w:rPr>
        <w:t xml:space="preserve"> or </w:t>
      </w:r>
      <w:hyperlink r:id="rId22" w:history="1">
        <w:r w:rsidRPr="007354ED">
          <w:rPr>
            <w:rStyle w:val="Hyperlink"/>
            <w:lang w:val="en-US"/>
          </w:rPr>
          <w:t>http://www.spiegel.de/wirtschaft/soziales/studie-zu-steuerflucht-reiche-bunkern-21-bis-32-billionen-im-ausland-a-845747.html</w:t>
        </w:r>
      </w:hyperlink>
      <w:r>
        <w:rPr>
          <w:lang w:val="en-US"/>
        </w:rPr>
        <w:t xml:space="preserve"> </w:t>
      </w:r>
    </w:p>
  </w:endnote>
  <w:endnote w:id="11">
    <w:p w14:paraId="2439E763" w14:textId="77777777" w:rsidR="002816A5" w:rsidRPr="00200896" w:rsidRDefault="002816A5" w:rsidP="00A475BF">
      <w:pPr>
        <w:pStyle w:val="EndnoteText"/>
        <w:rPr>
          <w:lang w:val="en-US"/>
        </w:rPr>
      </w:pPr>
      <w:r>
        <w:rPr>
          <w:rStyle w:val="EndnoteReference"/>
        </w:rPr>
        <w:endnoteRef/>
      </w:r>
      <w:r>
        <w:t xml:space="preserve"> </w:t>
      </w:r>
      <w:r>
        <w:rPr>
          <w:lang w:val="en-US"/>
        </w:rPr>
        <w:t xml:space="preserve">E.g. Testimony of Jack A. Blum, Esq. </w:t>
      </w:r>
      <w:r w:rsidRPr="00200896">
        <w:rPr>
          <w:lang w:val="en-US"/>
        </w:rPr>
        <w:t>before</w:t>
      </w:r>
      <w:r>
        <w:rPr>
          <w:lang w:val="en-US"/>
        </w:rPr>
        <w:t xml:space="preserve"> </w:t>
      </w:r>
      <w:r w:rsidRPr="00200896">
        <w:rPr>
          <w:lang w:val="en-US"/>
        </w:rPr>
        <w:t>The United States Senate Committee on Homeland Security and Governmental</w:t>
      </w:r>
      <w:r>
        <w:rPr>
          <w:lang w:val="en-US"/>
        </w:rPr>
        <w:t xml:space="preserve"> </w:t>
      </w:r>
      <w:r w:rsidRPr="00200896">
        <w:rPr>
          <w:lang w:val="en-US"/>
        </w:rPr>
        <w:t>Affairs</w:t>
      </w:r>
      <w:r>
        <w:rPr>
          <w:lang w:val="en-US"/>
        </w:rPr>
        <w:t xml:space="preserve"> </w:t>
      </w:r>
      <w:r w:rsidRPr="00200896">
        <w:rPr>
          <w:lang w:val="en-US"/>
        </w:rPr>
        <w:t>on</w:t>
      </w:r>
      <w:r>
        <w:rPr>
          <w:lang w:val="en-US"/>
        </w:rPr>
        <w:t xml:space="preserve"> </w:t>
      </w:r>
      <w:r w:rsidRPr="00200896">
        <w:rPr>
          <w:lang w:val="en-US"/>
        </w:rPr>
        <w:t>S.569, the Incorporation Transparency and Law Enforcement Assistance Act</w:t>
      </w:r>
      <w:r>
        <w:rPr>
          <w:lang w:val="en-US"/>
        </w:rPr>
        <w:t xml:space="preserve">, </w:t>
      </w:r>
      <w:r w:rsidRPr="00200896">
        <w:rPr>
          <w:lang w:val="en-US"/>
        </w:rPr>
        <w:t xml:space="preserve">Nov 5, 2009 </w:t>
      </w:r>
      <w:r>
        <w:rPr>
          <w:lang w:val="en-US"/>
        </w:rPr>
        <w:t xml:space="preserve"> </w:t>
      </w:r>
      <w:hyperlink r:id="rId23" w:history="1">
        <w:r w:rsidRPr="007354ED">
          <w:rPr>
            <w:rStyle w:val="Hyperlink"/>
            <w:lang w:val="en-US"/>
          </w:rPr>
          <w:t>http://www.hsgac.senate.gov/download/2009-11-05-blum-testimony-revised</w:t>
        </w:r>
      </w:hyperlink>
      <w:r>
        <w:rPr>
          <w:lang w:val="en-US"/>
        </w:rPr>
        <w:t xml:space="preserve"> </w:t>
      </w:r>
    </w:p>
  </w:endnote>
  <w:endnote w:id="12">
    <w:p w14:paraId="1A793D5D" w14:textId="6F7150B5" w:rsidR="002816A5" w:rsidRPr="002816A5" w:rsidRDefault="002816A5">
      <w:pPr>
        <w:pStyle w:val="EndnoteText"/>
        <w:rPr>
          <w:lang w:val="en-US"/>
        </w:rPr>
      </w:pPr>
      <w:r>
        <w:rPr>
          <w:rStyle w:val="EndnoteReference"/>
        </w:rPr>
        <w:endnoteRef/>
      </w:r>
      <w:r>
        <w:t xml:space="preserve"> </w:t>
      </w:r>
      <w:hyperlink r:id="rId24" w:history="1">
        <w:r w:rsidRPr="007354ED">
          <w:rPr>
            <w:rStyle w:val="Hyperlink"/>
          </w:rPr>
          <w:t>http://taxjustice.blogspot.de/2012/11/happy-birthday-tax-justice-network.html</w:t>
        </w:r>
      </w:hyperlink>
      <w:r>
        <w:t xml:space="preserve">  See also </w:t>
      </w:r>
      <w:hyperlink r:id="rId25" w:history="1">
        <w:r w:rsidRPr="007354ED">
          <w:rPr>
            <w:rStyle w:val="Hyperlink"/>
          </w:rPr>
          <w:t>http://www.taxjustice.net/5828-2/</w:t>
        </w:r>
      </w:hyperlink>
      <w:r>
        <w:t xml:space="preserve"> </w:t>
      </w:r>
    </w:p>
  </w:endnote>
  <w:endnote w:id="13">
    <w:p w14:paraId="6EE71926" w14:textId="246858EF" w:rsidR="002816A5" w:rsidRPr="00E2745F" w:rsidRDefault="002816A5">
      <w:pPr>
        <w:pStyle w:val="EndnoteText"/>
        <w:rPr>
          <w:lang w:val="en-US"/>
        </w:rPr>
      </w:pPr>
      <w:r>
        <w:rPr>
          <w:rStyle w:val="EndnoteReference"/>
        </w:rPr>
        <w:endnoteRef/>
      </w:r>
      <w:r>
        <w:t xml:space="preserve"> </w:t>
      </w:r>
      <w:r>
        <w:rPr>
          <w:lang w:val="en-US"/>
        </w:rPr>
        <w:t xml:space="preserve">TJN latest accounts are available here </w:t>
      </w:r>
      <w:hyperlink r:id="rId26" w:history="1">
        <w:r w:rsidRPr="007354ED">
          <w:rPr>
            <w:rStyle w:val="Hyperlink"/>
            <w:lang w:val="en-US"/>
          </w:rPr>
          <w:t>http://www.taxjustice.net/about/who-we-are/accounts/</w:t>
        </w:r>
      </w:hyperlink>
      <w:r>
        <w:rPr>
          <w:lang w:val="en-US"/>
        </w:rPr>
        <w:t xml:space="preserve"> </w:t>
      </w:r>
    </w:p>
  </w:endnote>
  <w:endnote w:id="14">
    <w:p w14:paraId="4720EA75" w14:textId="3386E8F0" w:rsidR="002816A5" w:rsidRPr="00AD3C35" w:rsidRDefault="002816A5">
      <w:pPr>
        <w:pStyle w:val="EndnoteText"/>
        <w:rPr>
          <w:lang w:val="en-US"/>
        </w:rPr>
      </w:pPr>
      <w:r>
        <w:rPr>
          <w:rStyle w:val="EndnoteReference"/>
        </w:rPr>
        <w:endnoteRef/>
      </w:r>
      <w:r>
        <w:t xml:space="preserve"> </w:t>
      </w:r>
      <w:r>
        <w:rPr>
          <w:lang w:val="en-US"/>
        </w:rPr>
        <w:t xml:space="preserve">See, for instance, </w:t>
      </w:r>
      <w:hyperlink r:id="rId27" w:history="1">
        <w:r w:rsidRPr="007354ED">
          <w:rPr>
            <w:rStyle w:val="Hyperlink"/>
            <w:lang w:val="en-US"/>
          </w:rPr>
          <w:t>http://www.taxjustice.net/2016/03/11/our-corruption-and-tax-havens-workshop-new-programme/</w:t>
        </w:r>
      </w:hyperlink>
      <w:r>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Ωn'1">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04304"/>
      <w:docPartObj>
        <w:docPartGallery w:val="Page Numbers (Bottom of Page)"/>
        <w:docPartUnique/>
      </w:docPartObj>
    </w:sdtPr>
    <w:sdtEndPr>
      <w:rPr>
        <w:noProof/>
      </w:rPr>
    </w:sdtEndPr>
    <w:sdtContent>
      <w:p w14:paraId="61876256" w14:textId="77777777" w:rsidR="002816A5" w:rsidRDefault="002816A5">
        <w:pPr>
          <w:pStyle w:val="Footer"/>
          <w:jc w:val="right"/>
        </w:pPr>
        <w:r>
          <w:fldChar w:fldCharType="begin"/>
        </w:r>
        <w:r>
          <w:instrText xml:space="preserve"> PAGE   \* MERGEFORMAT </w:instrText>
        </w:r>
        <w:r>
          <w:fldChar w:fldCharType="separate"/>
        </w:r>
        <w:r w:rsidR="005827A9">
          <w:rPr>
            <w:noProof/>
          </w:rPr>
          <w:t>1</w:t>
        </w:r>
        <w:r>
          <w:rPr>
            <w:noProof/>
          </w:rPr>
          <w:fldChar w:fldCharType="end"/>
        </w:r>
      </w:p>
    </w:sdtContent>
  </w:sdt>
  <w:p w14:paraId="21D471FC" w14:textId="77777777" w:rsidR="002816A5" w:rsidRDefault="002816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E87C3" w14:textId="77777777" w:rsidR="002816A5" w:rsidRDefault="002816A5" w:rsidP="00CC2277">
      <w:pPr>
        <w:spacing w:after="0" w:line="240" w:lineRule="auto"/>
      </w:pPr>
      <w:r>
        <w:separator/>
      </w:r>
    </w:p>
  </w:footnote>
  <w:footnote w:type="continuationSeparator" w:id="0">
    <w:p w14:paraId="72968276" w14:textId="77777777" w:rsidR="002816A5" w:rsidRDefault="002816A5" w:rsidP="00CC22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BDF"/>
    <w:multiLevelType w:val="hybridMultilevel"/>
    <w:tmpl w:val="3AB6D5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5F5EF4"/>
    <w:multiLevelType w:val="hybridMultilevel"/>
    <w:tmpl w:val="6A5CC5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72C3A16"/>
    <w:multiLevelType w:val="hybridMultilevel"/>
    <w:tmpl w:val="514E6F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7634091"/>
    <w:multiLevelType w:val="hybridMultilevel"/>
    <w:tmpl w:val="6E540376"/>
    <w:lvl w:ilvl="0" w:tplc="2CA0498A">
      <w:start w:val="1"/>
      <w:numFmt w:val="bullet"/>
      <w:lvlText w:val="-"/>
      <w:lvlJc w:val="left"/>
      <w:pPr>
        <w:tabs>
          <w:tab w:val="num" w:pos="720"/>
        </w:tabs>
        <w:ind w:left="720" w:hanging="360"/>
      </w:pPr>
      <w:rPr>
        <w:rFonts w:ascii="Times New Roman" w:hAnsi="Times New Roman" w:hint="default"/>
      </w:rPr>
    </w:lvl>
    <w:lvl w:ilvl="1" w:tplc="C5A4AC58" w:tentative="1">
      <w:start w:val="1"/>
      <w:numFmt w:val="bullet"/>
      <w:lvlText w:val="-"/>
      <w:lvlJc w:val="left"/>
      <w:pPr>
        <w:tabs>
          <w:tab w:val="num" w:pos="1440"/>
        </w:tabs>
        <w:ind w:left="1440" w:hanging="360"/>
      </w:pPr>
      <w:rPr>
        <w:rFonts w:ascii="Times New Roman" w:hAnsi="Times New Roman" w:hint="default"/>
      </w:rPr>
    </w:lvl>
    <w:lvl w:ilvl="2" w:tplc="219A756E" w:tentative="1">
      <w:start w:val="1"/>
      <w:numFmt w:val="bullet"/>
      <w:lvlText w:val="-"/>
      <w:lvlJc w:val="left"/>
      <w:pPr>
        <w:tabs>
          <w:tab w:val="num" w:pos="2160"/>
        </w:tabs>
        <w:ind w:left="2160" w:hanging="360"/>
      </w:pPr>
      <w:rPr>
        <w:rFonts w:ascii="Times New Roman" w:hAnsi="Times New Roman" w:hint="default"/>
      </w:rPr>
    </w:lvl>
    <w:lvl w:ilvl="3" w:tplc="64F6C7D4" w:tentative="1">
      <w:start w:val="1"/>
      <w:numFmt w:val="bullet"/>
      <w:lvlText w:val="-"/>
      <w:lvlJc w:val="left"/>
      <w:pPr>
        <w:tabs>
          <w:tab w:val="num" w:pos="2880"/>
        </w:tabs>
        <w:ind w:left="2880" w:hanging="360"/>
      </w:pPr>
      <w:rPr>
        <w:rFonts w:ascii="Times New Roman" w:hAnsi="Times New Roman" w:hint="default"/>
      </w:rPr>
    </w:lvl>
    <w:lvl w:ilvl="4" w:tplc="9D6CB8F2" w:tentative="1">
      <w:start w:val="1"/>
      <w:numFmt w:val="bullet"/>
      <w:lvlText w:val="-"/>
      <w:lvlJc w:val="left"/>
      <w:pPr>
        <w:tabs>
          <w:tab w:val="num" w:pos="3600"/>
        </w:tabs>
        <w:ind w:left="3600" w:hanging="360"/>
      </w:pPr>
      <w:rPr>
        <w:rFonts w:ascii="Times New Roman" w:hAnsi="Times New Roman" w:hint="default"/>
      </w:rPr>
    </w:lvl>
    <w:lvl w:ilvl="5" w:tplc="B6A461F4" w:tentative="1">
      <w:start w:val="1"/>
      <w:numFmt w:val="bullet"/>
      <w:lvlText w:val="-"/>
      <w:lvlJc w:val="left"/>
      <w:pPr>
        <w:tabs>
          <w:tab w:val="num" w:pos="4320"/>
        </w:tabs>
        <w:ind w:left="4320" w:hanging="360"/>
      </w:pPr>
      <w:rPr>
        <w:rFonts w:ascii="Times New Roman" w:hAnsi="Times New Roman" w:hint="default"/>
      </w:rPr>
    </w:lvl>
    <w:lvl w:ilvl="6" w:tplc="5D4E12D0" w:tentative="1">
      <w:start w:val="1"/>
      <w:numFmt w:val="bullet"/>
      <w:lvlText w:val="-"/>
      <w:lvlJc w:val="left"/>
      <w:pPr>
        <w:tabs>
          <w:tab w:val="num" w:pos="5040"/>
        </w:tabs>
        <w:ind w:left="5040" w:hanging="360"/>
      </w:pPr>
      <w:rPr>
        <w:rFonts w:ascii="Times New Roman" w:hAnsi="Times New Roman" w:hint="default"/>
      </w:rPr>
    </w:lvl>
    <w:lvl w:ilvl="7" w:tplc="0D942B68" w:tentative="1">
      <w:start w:val="1"/>
      <w:numFmt w:val="bullet"/>
      <w:lvlText w:val="-"/>
      <w:lvlJc w:val="left"/>
      <w:pPr>
        <w:tabs>
          <w:tab w:val="num" w:pos="5760"/>
        </w:tabs>
        <w:ind w:left="5760" w:hanging="360"/>
      </w:pPr>
      <w:rPr>
        <w:rFonts w:ascii="Times New Roman" w:hAnsi="Times New Roman" w:hint="default"/>
      </w:rPr>
    </w:lvl>
    <w:lvl w:ilvl="8" w:tplc="86E4413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65360"/>
    <w:multiLevelType w:val="hybridMultilevel"/>
    <w:tmpl w:val="2BC6D25A"/>
    <w:lvl w:ilvl="0" w:tplc="DDA2388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0240F02"/>
    <w:multiLevelType w:val="hybridMultilevel"/>
    <w:tmpl w:val="B51A21B8"/>
    <w:lvl w:ilvl="0" w:tplc="B18A893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DC0D5F"/>
    <w:multiLevelType w:val="hybridMultilevel"/>
    <w:tmpl w:val="9F981E48"/>
    <w:lvl w:ilvl="0" w:tplc="615C966E">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67A7AC7"/>
    <w:multiLevelType w:val="hybridMultilevel"/>
    <w:tmpl w:val="E84439D8"/>
    <w:lvl w:ilvl="0" w:tplc="7A42A404">
      <w:start w:val="1"/>
      <w:numFmt w:val="bullet"/>
      <w:lvlText w:val="-"/>
      <w:lvlJc w:val="left"/>
      <w:pPr>
        <w:tabs>
          <w:tab w:val="num" w:pos="720"/>
        </w:tabs>
        <w:ind w:left="720" w:hanging="360"/>
      </w:pPr>
      <w:rPr>
        <w:rFonts w:ascii="Times New Roman" w:hAnsi="Times New Roman" w:hint="default"/>
      </w:rPr>
    </w:lvl>
    <w:lvl w:ilvl="1" w:tplc="BFBC2830" w:tentative="1">
      <w:start w:val="1"/>
      <w:numFmt w:val="bullet"/>
      <w:lvlText w:val="-"/>
      <w:lvlJc w:val="left"/>
      <w:pPr>
        <w:tabs>
          <w:tab w:val="num" w:pos="1440"/>
        </w:tabs>
        <w:ind w:left="1440" w:hanging="360"/>
      </w:pPr>
      <w:rPr>
        <w:rFonts w:ascii="Times New Roman" w:hAnsi="Times New Roman" w:hint="default"/>
      </w:rPr>
    </w:lvl>
    <w:lvl w:ilvl="2" w:tplc="0C10157C" w:tentative="1">
      <w:start w:val="1"/>
      <w:numFmt w:val="bullet"/>
      <w:lvlText w:val="-"/>
      <w:lvlJc w:val="left"/>
      <w:pPr>
        <w:tabs>
          <w:tab w:val="num" w:pos="2160"/>
        </w:tabs>
        <w:ind w:left="2160" w:hanging="360"/>
      </w:pPr>
      <w:rPr>
        <w:rFonts w:ascii="Times New Roman" w:hAnsi="Times New Roman" w:hint="default"/>
      </w:rPr>
    </w:lvl>
    <w:lvl w:ilvl="3" w:tplc="72F4790A" w:tentative="1">
      <w:start w:val="1"/>
      <w:numFmt w:val="bullet"/>
      <w:lvlText w:val="-"/>
      <w:lvlJc w:val="left"/>
      <w:pPr>
        <w:tabs>
          <w:tab w:val="num" w:pos="2880"/>
        </w:tabs>
        <w:ind w:left="2880" w:hanging="360"/>
      </w:pPr>
      <w:rPr>
        <w:rFonts w:ascii="Times New Roman" w:hAnsi="Times New Roman" w:hint="default"/>
      </w:rPr>
    </w:lvl>
    <w:lvl w:ilvl="4" w:tplc="028ABD10" w:tentative="1">
      <w:start w:val="1"/>
      <w:numFmt w:val="bullet"/>
      <w:lvlText w:val="-"/>
      <w:lvlJc w:val="left"/>
      <w:pPr>
        <w:tabs>
          <w:tab w:val="num" w:pos="3600"/>
        </w:tabs>
        <w:ind w:left="3600" w:hanging="360"/>
      </w:pPr>
      <w:rPr>
        <w:rFonts w:ascii="Times New Roman" w:hAnsi="Times New Roman" w:hint="default"/>
      </w:rPr>
    </w:lvl>
    <w:lvl w:ilvl="5" w:tplc="C7EEB2CE" w:tentative="1">
      <w:start w:val="1"/>
      <w:numFmt w:val="bullet"/>
      <w:lvlText w:val="-"/>
      <w:lvlJc w:val="left"/>
      <w:pPr>
        <w:tabs>
          <w:tab w:val="num" w:pos="4320"/>
        </w:tabs>
        <w:ind w:left="4320" w:hanging="360"/>
      </w:pPr>
      <w:rPr>
        <w:rFonts w:ascii="Times New Roman" w:hAnsi="Times New Roman" w:hint="default"/>
      </w:rPr>
    </w:lvl>
    <w:lvl w:ilvl="6" w:tplc="3F5870E8" w:tentative="1">
      <w:start w:val="1"/>
      <w:numFmt w:val="bullet"/>
      <w:lvlText w:val="-"/>
      <w:lvlJc w:val="left"/>
      <w:pPr>
        <w:tabs>
          <w:tab w:val="num" w:pos="5040"/>
        </w:tabs>
        <w:ind w:left="5040" w:hanging="360"/>
      </w:pPr>
      <w:rPr>
        <w:rFonts w:ascii="Times New Roman" w:hAnsi="Times New Roman" w:hint="default"/>
      </w:rPr>
    </w:lvl>
    <w:lvl w:ilvl="7" w:tplc="14740C50" w:tentative="1">
      <w:start w:val="1"/>
      <w:numFmt w:val="bullet"/>
      <w:lvlText w:val="-"/>
      <w:lvlJc w:val="left"/>
      <w:pPr>
        <w:tabs>
          <w:tab w:val="num" w:pos="5760"/>
        </w:tabs>
        <w:ind w:left="5760" w:hanging="360"/>
      </w:pPr>
      <w:rPr>
        <w:rFonts w:ascii="Times New Roman" w:hAnsi="Times New Roman" w:hint="default"/>
      </w:rPr>
    </w:lvl>
    <w:lvl w:ilvl="8" w:tplc="BABC6DE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6CA002D"/>
    <w:multiLevelType w:val="hybridMultilevel"/>
    <w:tmpl w:val="1E6A20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B2C3465"/>
    <w:multiLevelType w:val="hybridMultilevel"/>
    <w:tmpl w:val="3AB6D5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C4551D2"/>
    <w:multiLevelType w:val="hybridMultilevel"/>
    <w:tmpl w:val="EC8657C6"/>
    <w:lvl w:ilvl="0" w:tplc="079A0616">
      <w:numFmt w:val="bullet"/>
      <w:lvlText w:val="-"/>
      <w:lvlJc w:val="left"/>
      <w:pPr>
        <w:ind w:left="1065" w:hanging="360"/>
      </w:pPr>
      <w:rPr>
        <w:rFonts w:ascii="Verdana" w:eastAsiaTheme="minorHAnsi" w:hAnsi="Verdana"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1">
    <w:nsid w:val="78940729"/>
    <w:multiLevelType w:val="hybridMultilevel"/>
    <w:tmpl w:val="040476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5"/>
  </w:num>
  <w:num w:numId="5">
    <w:abstractNumId w:val="1"/>
  </w:num>
  <w:num w:numId="6">
    <w:abstractNumId w:val="11"/>
  </w:num>
  <w:num w:numId="7">
    <w:abstractNumId w:val="8"/>
  </w:num>
  <w:num w:numId="8">
    <w:abstractNumId w:val="10"/>
  </w:num>
  <w:num w:numId="9">
    <w:abstractNumId w:val="2"/>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46"/>
    <w:rsid w:val="000018B6"/>
    <w:rsid w:val="00001F33"/>
    <w:rsid w:val="00002866"/>
    <w:rsid w:val="000055CA"/>
    <w:rsid w:val="00006C62"/>
    <w:rsid w:val="00013218"/>
    <w:rsid w:val="00013425"/>
    <w:rsid w:val="0002211F"/>
    <w:rsid w:val="000225B1"/>
    <w:rsid w:val="000232A4"/>
    <w:rsid w:val="00024CEF"/>
    <w:rsid w:val="000253FE"/>
    <w:rsid w:val="00025871"/>
    <w:rsid w:val="00026621"/>
    <w:rsid w:val="000315F7"/>
    <w:rsid w:val="00031B7C"/>
    <w:rsid w:val="00033B2D"/>
    <w:rsid w:val="00035EAD"/>
    <w:rsid w:val="00036C76"/>
    <w:rsid w:val="00042F9D"/>
    <w:rsid w:val="00044254"/>
    <w:rsid w:val="000467F8"/>
    <w:rsid w:val="0004723F"/>
    <w:rsid w:val="0004757D"/>
    <w:rsid w:val="00051D6A"/>
    <w:rsid w:val="00055078"/>
    <w:rsid w:val="00055DE4"/>
    <w:rsid w:val="0006004E"/>
    <w:rsid w:val="00061EB7"/>
    <w:rsid w:val="0006294D"/>
    <w:rsid w:val="0006374D"/>
    <w:rsid w:val="000646D9"/>
    <w:rsid w:val="0006496B"/>
    <w:rsid w:val="00066162"/>
    <w:rsid w:val="0006625A"/>
    <w:rsid w:val="0007035E"/>
    <w:rsid w:val="000731DF"/>
    <w:rsid w:val="0007434C"/>
    <w:rsid w:val="00076026"/>
    <w:rsid w:val="00080B52"/>
    <w:rsid w:val="00081278"/>
    <w:rsid w:val="0008210B"/>
    <w:rsid w:val="0008355B"/>
    <w:rsid w:val="00084389"/>
    <w:rsid w:val="0008444A"/>
    <w:rsid w:val="00084C4F"/>
    <w:rsid w:val="00090DC7"/>
    <w:rsid w:val="00094D56"/>
    <w:rsid w:val="00094E4F"/>
    <w:rsid w:val="000A0447"/>
    <w:rsid w:val="000A0D99"/>
    <w:rsid w:val="000A1363"/>
    <w:rsid w:val="000A6976"/>
    <w:rsid w:val="000A72FD"/>
    <w:rsid w:val="000B32F2"/>
    <w:rsid w:val="000B3ADA"/>
    <w:rsid w:val="000B5B2A"/>
    <w:rsid w:val="000B6F3F"/>
    <w:rsid w:val="000C2AF5"/>
    <w:rsid w:val="000C541F"/>
    <w:rsid w:val="000D0C69"/>
    <w:rsid w:val="000D556A"/>
    <w:rsid w:val="000D5926"/>
    <w:rsid w:val="000D5B80"/>
    <w:rsid w:val="000D740C"/>
    <w:rsid w:val="000D77A0"/>
    <w:rsid w:val="000D7974"/>
    <w:rsid w:val="000E0206"/>
    <w:rsid w:val="000E64D1"/>
    <w:rsid w:val="000E720A"/>
    <w:rsid w:val="000E7A72"/>
    <w:rsid w:val="000F376B"/>
    <w:rsid w:val="000F5AF1"/>
    <w:rsid w:val="000F6554"/>
    <w:rsid w:val="000F6AE0"/>
    <w:rsid w:val="00101C1C"/>
    <w:rsid w:val="0010427D"/>
    <w:rsid w:val="00107272"/>
    <w:rsid w:val="00111E05"/>
    <w:rsid w:val="001124A3"/>
    <w:rsid w:val="00113314"/>
    <w:rsid w:val="0011331D"/>
    <w:rsid w:val="001149AC"/>
    <w:rsid w:val="001242B7"/>
    <w:rsid w:val="00124532"/>
    <w:rsid w:val="001257C4"/>
    <w:rsid w:val="00130408"/>
    <w:rsid w:val="0013259F"/>
    <w:rsid w:val="00133534"/>
    <w:rsid w:val="00134FA2"/>
    <w:rsid w:val="001361D1"/>
    <w:rsid w:val="00136B9D"/>
    <w:rsid w:val="00140E39"/>
    <w:rsid w:val="00141429"/>
    <w:rsid w:val="00142F7E"/>
    <w:rsid w:val="00144D91"/>
    <w:rsid w:val="00146772"/>
    <w:rsid w:val="00151DD8"/>
    <w:rsid w:val="00153E32"/>
    <w:rsid w:val="001622A6"/>
    <w:rsid w:val="0016675C"/>
    <w:rsid w:val="00166E10"/>
    <w:rsid w:val="00172530"/>
    <w:rsid w:val="001738DD"/>
    <w:rsid w:val="001779CD"/>
    <w:rsid w:val="00177AAA"/>
    <w:rsid w:val="00183BE7"/>
    <w:rsid w:val="00183FA1"/>
    <w:rsid w:val="001840AB"/>
    <w:rsid w:val="001845DC"/>
    <w:rsid w:val="00184948"/>
    <w:rsid w:val="0018595D"/>
    <w:rsid w:val="0018667F"/>
    <w:rsid w:val="00190878"/>
    <w:rsid w:val="00191098"/>
    <w:rsid w:val="0019632D"/>
    <w:rsid w:val="00196D75"/>
    <w:rsid w:val="001979F1"/>
    <w:rsid w:val="00197A69"/>
    <w:rsid w:val="001A42EF"/>
    <w:rsid w:val="001A564E"/>
    <w:rsid w:val="001B0DA2"/>
    <w:rsid w:val="001B140D"/>
    <w:rsid w:val="001B1546"/>
    <w:rsid w:val="001B6210"/>
    <w:rsid w:val="001B7E66"/>
    <w:rsid w:val="001C0E36"/>
    <w:rsid w:val="001C26C3"/>
    <w:rsid w:val="001D0A65"/>
    <w:rsid w:val="001D10EC"/>
    <w:rsid w:val="001D1BF2"/>
    <w:rsid w:val="001D2193"/>
    <w:rsid w:val="001D5863"/>
    <w:rsid w:val="001D5B48"/>
    <w:rsid w:val="001D6604"/>
    <w:rsid w:val="001E0B7C"/>
    <w:rsid w:val="001E13B5"/>
    <w:rsid w:val="001E3C43"/>
    <w:rsid w:val="001E411B"/>
    <w:rsid w:val="001E5206"/>
    <w:rsid w:val="001E576B"/>
    <w:rsid w:val="00200896"/>
    <w:rsid w:val="00201B24"/>
    <w:rsid w:val="00202254"/>
    <w:rsid w:val="00203837"/>
    <w:rsid w:val="00203B51"/>
    <w:rsid w:val="00205D6E"/>
    <w:rsid w:val="00206857"/>
    <w:rsid w:val="00206E08"/>
    <w:rsid w:val="0020774E"/>
    <w:rsid w:val="002113F8"/>
    <w:rsid w:val="00214D84"/>
    <w:rsid w:val="00215505"/>
    <w:rsid w:val="00215D0D"/>
    <w:rsid w:val="00216E49"/>
    <w:rsid w:val="00221EEC"/>
    <w:rsid w:val="002239F2"/>
    <w:rsid w:val="0022516A"/>
    <w:rsid w:val="0023189C"/>
    <w:rsid w:val="0023433F"/>
    <w:rsid w:val="002401A1"/>
    <w:rsid w:val="002446EC"/>
    <w:rsid w:val="002456B3"/>
    <w:rsid w:val="0024746D"/>
    <w:rsid w:val="0024754E"/>
    <w:rsid w:val="00253884"/>
    <w:rsid w:val="002561A2"/>
    <w:rsid w:val="00256469"/>
    <w:rsid w:val="00257874"/>
    <w:rsid w:val="002602FB"/>
    <w:rsid w:val="0026236C"/>
    <w:rsid w:val="00263F6E"/>
    <w:rsid w:val="0027023B"/>
    <w:rsid w:val="002727E2"/>
    <w:rsid w:val="0027291B"/>
    <w:rsid w:val="00273E52"/>
    <w:rsid w:val="0027435E"/>
    <w:rsid w:val="002758EE"/>
    <w:rsid w:val="002816A5"/>
    <w:rsid w:val="00282BA6"/>
    <w:rsid w:val="002853D2"/>
    <w:rsid w:val="00286615"/>
    <w:rsid w:val="002871C9"/>
    <w:rsid w:val="00287926"/>
    <w:rsid w:val="00293307"/>
    <w:rsid w:val="00294C7B"/>
    <w:rsid w:val="00295AEF"/>
    <w:rsid w:val="002A3F7C"/>
    <w:rsid w:val="002A41D6"/>
    <w:rsid w:val="002A5D18"/>
    <w:rsid w:val="002A63B9"/>
    <w:rsid w:val="002A7717"/>
    <w:rsid w:val="002B2BD8"/>
    <w:rsid w:val="002B48B8"/>
    <w:rsid w:val="002B48CB"/>
    <w:rsid w:val="002B4FAA"/>
    <w:rsid w:val="002B6DF8"/>
    <w:rsid w:val="002B759E"/>
    <w:rsid w:val="002C0AD3"/>
    <w:rsid w:val="002C10E6"/>
    <w:rsid w:val="002C3388"/>
    <w:rsid w:val="002C5135"/>
    <w:rsid w:val="002C5887"/>
    <w:rsid w:val="002C608E"/>
    <w:rsid w:val="002C6C39"/>
    <w:rsid w:val="002C706E"/>
    <w:rsid w:val="002C75D4"/>
    <w:rsid w:val="002C791C"/>
    <w:rsid w:val="002D13C3"/>
    <w:rsid w:val="002D5BAD"/>
    <w:rsid w:val="002E21EA"/>
    <w:rsid w:val="002E3FB7"/>
    <w:rsid w:val="002E560D"/>
    <w:rsid w:val="002E5BC8"/>
    <w:rsid w:val="002E5D4B"/>
    <w:rsid w:val="002E762F"/>
    <w:rsid w:val="002F1970"/>
    <w:rsid w:val="002F54B4"/>
    <w:rsid w:val="002F6BA5"/>
    <w:rsid w:val="002F6D0A"/>
    <w:rsid w:val="002F745A"/>
    <w:rsid w:val="003001E0"/>
    <w:rsid w:val="00301313"/>
    <w:rsid w:val="00303BE2"/>
    <w:rsid w:val="003041AA"/>
    <w:rsid w:val="00306DD6"/>
    <w:rsid w:val="00311D04"/>
    <w:rsid w:val="00311ED0"/>
    <w:rsid w:val="00311F4F"/>
    <w:rsid w:val="00313072"/>
    <w:rsid w:val="00314060"/>
    <w:rsid w:val="00316BC5"/>
    <w:rsid w:val="00322B7A"/>
    <w:rsid w:val="00325683"/>
    <w:rsid w:val="0033048E"/>
    <w:rsid w:val="0033084B"/>
    <w:rsid w:val="0033687B"/>
    <w:rsid w:val="0034105B"/>
    <w:rsid w:val="00344BC6"/>
    <w:rsid w:val="00344FDD"/>
    <w:rsid w:val="00345CB8"/>
    <w:rsid w:val="00347E4F"/>
    <w:rsid w:val="00352870"/>
    <w:rsid w:val="00352A0D"/>
    <w:rsid w:val="00353620"/>
    <w:rsid w:val="00354660"/>
    <w:rsid w:val="00355CB7"/>
    <w:rsid w:val="00356182"/>
    <w:rsid w:val="00357C3D"/>
    <w:rsid w:val="0036254F"/>
    <w:rsid w:val="00364DC5"/>
    <w:rsid w:val="003651BC"/>
    <w:rsid w:val="00365EBB"/>
    <w:rsid w:val="003671FF"/>
    <w:rsid w:val="00376278"/>
    <w:rsid w:val="00376788"/>
    <w:rsid w:val="00380D25"/>
    <w:rsid w:val="0038494C"/>
    <w:rsid w:val="00384E11"/>
    <w:rsid w:val="0038537C"/>
    <w:rsid w:val="0038587A"/>
    <w:rsid w:val="003873CC"/>
    <w:rsid w:val="00393098"/>
    <w:rsid w:val="00393C97"/>
    <w:rsid w:val="003A20D4"/>
    <w:rsid w:val="003A2670"/>
    <w:rsid w:val="003A3CE2"/>
    <w:rsid w:val="003A46AB"/>
    <w:rsid w:val="003A7799"/>
    <w:rsid w:val="003B29BE"/>
    <w:rsid w:val="003B29F5"/>
    <w:rsid w:val="003B3A26"/>
    <w:rsid w:val="003B58AD"/>
    <w:rsid w:val="003C13FF"/>
    <w:rsid w:val="003C2068"/>
    <w:rsid w:val="003C2C27"/>
    <w:rsid w:val="003C334F"/>
    <w:rsid w:val="003C7627"/>
    <w:rsid w:val="003D3DD8"/>
    <w:rsid w:val="003D3F7E"/>
    <w:rsid w:val="003D50C7"/>
    <w:rsid w:val="003E0C08"/>
    <w:rsid w:val="003E2ACB"/>
    <w:rsid w:val="003E452D"/>
    <w:rsid w:val="003E621F"/>
    <w:rsid w:val="003E6A54"/>
    <w:rsid w:val="003F159B"/>
    <w:rsid w:val="003F1965"/>
    <w:rsid w:val="003F51B1"/>
    <w:rsid w:val="003F5C22"/>
    <w:rsid w:val="004000EC"/>
    <w:rsid w:val="00400214"/>
    <w:rsid w:val="00402C31"/>
    <w:rsid w:val="004035AA"/>
    <w:rsid w:val="0040770A"/>
    <w:rsid w:val="0041417D"/>
    <w:rsid w:val="00417BB8"/>
    <w:rsid w:val="004221DC"/>
    <w:rsid w:val="00424026"/>
    <w:rsid w:val="00431646"/>
    <w:rsid w:val="00434316"/>
    <w:rsid w:val="00447A30"/>
    <w:rsid w:val="004512F4"/>
    <w:rsid w:val="00451474"/>
    <w:rsid w:val="004528FD"/>
    <w:rsid w:val="00453ADA"/>
    <w:rsid w:val="0045405F"/>
    <w:rsid w:val="00454CCB"/>
    <w:rsid w:val="0046286A"/>
    <w:rsid w:val="00465675"/>
    <w:rsid w:val="00467317"/>
    <w:rsid w:val="0046756A"/>
    <w:rsid w:val="004701CF"/>
    <w:rsid w:val="00472481"/>
    <w:rsid w:val="004724DF"/>
    <w:rsid w:val="00475761"/>
    <w:rsid w:val="0048197C"/>
    <w:rsid w:val="004827C7"/>
    <w:rsid w:val="004841A2"/>
    <w:rsid w:val="00486236"/>
    <w:rsid w:val="00490DC1"/>
    <w:rsid w:val="00492635"/>
    <w:rsid w:val="00494C07"/>
    <w:rsid w:val="00495F23"/>
    <w:rsid w:val="004A33C0"/>
    <w:rsid w:val="004A36D3"/>
    <w:rsid w:val="004B1B99"/>
    <w:rsid w:val="004B32CB"/>
    <w:rsid w:val="004B5228"/>
    <w:rsid w:val="004B65F8"/>
    <w:rsid w:val="004C0650"/>
    <w:rsid w:val="004C078F"/>
    <w:rsid w:val="004C2367"/>
    <w:rsid w:val="004C358B"/>
    <w:rsid w:val="004C4DCA"/>
    <w:rsid w:val="004C5645"/>
    <w:rsid w:val="004D5BD7"/>
    <w:rsid w:val="004D7545"/>
    <w:rsid w:val="004E18A5"/>
    <w:rsid w:val="004E1B94"/>
    <w:rsid w:val="004E30E4"/>
    <w:rsid w:val="004F0503"/>
    <w:rsid w:val="004F5A94"/>
    <w:rsid w:val="004F5D58"/>
    <w:rsid w:val="004F62DF"/>
    <w:rsid w:val="004F6B7B"/>
    <w:rsid w:val="004F7944"/>
    <w:rsid w:val="004F7A03"/>
    <w:rsid w:val="004F7CFD"/>
    <w:rsid w:val="005010D1"/>
    <w:rsid w:val="00501A46"/>
    <w:rsid w:val="0050412B"/>
    <w:rsid w:val="00506089"/>
    <w:rsid w:val="00514203"/>
    <w:rsid w:val="0051698E"/>
    <w:rsid w:val="005202FD"/>
    <w:rsid w:val="005204D1"/>
    <w:rsid w:val="00520637"/>
    <w:rsid w:val="005241B2"/>
    <w:rsid w:val="00524C6A"/>
    <w:rsid w:val="005263A4"/>
    <w:rsid w:val="00526ACB"/>
    <w:rsid w:val="00532043"/>
    <w:rsid w:val="00535AA2"/>
    <w:rsid w:val="0054132E"/>
    <w:rsid w:val="00543ACC"/>
    <w:rsid w:val="005500BB"/>
    <w:rsid w:val="00551C58"/>
    <w:rsid w:val="0055293F"/>
    <w:rsid w:val="00554813"/>
    <w:rsid w:val="00555D73"/>
    <w:rsid w:val="00557539"/>
    <w:rsid w:val="005600F7"/>
    <w:rsid w:val="0056064D"/>
    <w:rsid w:val="0056089D"/>
    <w:rsid w:val="005628BA"/>
    <w:rsid w:val="00564A04"/>
    <w:rsid w:val="00564BBA"/>
    <w:rsid w:val="00566239"/>
    <w:rsid w:val="0056644D"/>
    <w:rsid w:val="00566B4D"/>
    <w:rsid w:val="0056718D"/>
    <w:rsid w:val="005679DC"/>
    <w:rsid w:val="00567D65"/>
    <w:rsid w:val="0057346C"/>
    <w:rsid w:val="00576670"/>
    <w:rsid w:val="005827A9"/>
    <w:rsid w:val="0058344A"/>
    <w:rsid w:val="00583ABD"/>
    <w:rsid w:val="005841C9"/>
    <w:rsid w:val="00586E26"/>
    <w:rsid w:val="00587D8F"/>
    <w:rsid w:val="00593132"/>
    <w:rsid w:val="0059458F"/>
    <w:rsid w:val="00594FD3"/>
    <w:rsid w:val="005A125B"/>
    <w:rsid w:val="005A4F74"/>
    <w:rsid w:val="005A544D"/>
    <w:rsid w:val="005B1885"/>
    <w:rsid w:val="005B3589"/>
    <w:rsid w:val="005B3859"/>
    <w:rsid w:val="005B4555"/>
    <w:rsid w:val="005B5400"/>
    <w:rsid w:val="005B6A4A"/>
    <w:rsid w:val="005C228B"/>
    <w:rsid w:val="005C2DE6"/>
    <w:rsid w:val="005C5185"/>
    <w:rsid w:val="005C578A"/>
    <w:rsid w:val="005C656C"/>
    <w:rsid w:val="005D0086"/>
    <w:rsid w:val="005D22CB"/>
    <w:rsid w:val="005D273C"/>
    <w:rsid w:val="005D4C0F"/>
    <w:rsid w:val="005D69C1"/>
    <w:rsid w:val="005D75D8"/>
    <w:rsid w:val="005E14EB"/>
    <w:rsid w:val="005E284F"/>
    <w:rsid w:val="005E2C0A"/>
    <w:rsid w:val="005E3271"/>
    <w:rsid w:val="005E4A71"/>
    <w:rsid w:val="005E4B37"/>
    <w:rsid w:val="005F0D34"/>
    <w:rsid w:val="005F1CD9"/>
    <w:rsid w:val="005F23A1"/>
    <w:rsid w:val="005F3130"/>
    <w:rsid w:val="005F3DF0"/>
    <w:rsid w:val="005F44A4"/>
    <w:rsid w:val="005F5C79"/>
    <w:rsid w:val="005F7393"/>
    <w:rsid w:val="00601847"/>
    <w:rsid w:val="00610690"/>
    <w:rsid w:val="00610B43"/>
    <w:rsid w:val="0061171C"/>
    <w:rsid w:val="00611CAA"/>
    <w:rsid w:val="006121E4"/>
    <w:rsid w:val="006124E8"/>
    <w:rsid w:val="0061350F"/>
    <w:rsid w:val="00615D0C"/>
    <w:rsid w:val="00616B52"/>
    <w:rsid w:val="00620BBE"/>
    <w:rsid w:val="006211B7"/>
    <w:rsid w:val="00621528"/>
    <w:rsid w:val="00622683"/>
    <w:rsid w:val="00622D17"/>
    <w:rsid w:val="006320E6"/>
    <w:rsid w:val="00633ABA"/>
    <w:rsid w:val="00640926"/>
    <w:rsid w:val="00642D7E"/>
    <w:rsid w:val="006503F3"/>
    <w:rsid w:val="00650A3C"/>
    <w:rsid w:val="00651408"/>
    <w:rsid w:val="006515CC"/>
    <w:rsid w:val="00651F34"/>
    <w:rsid w:val="00654A94"/>
    <w:rsid w:val="0065548F"/>
    <w:rsid w:val="00656037"/>
    <w:rsid w:val="006608BF"/>
    <w:rsid w:val="00661F9F"/>
    <w:rsid w:val="006640AF"/>
    <w:rsid w:val="006704C9"/>
    <w:rsid w:val="00672A0D"/>
    <w:rsid w:val="00672D14"/>
    <w:rsid w:val="006746C1"/>
    <w:rsid w:val="00675C2C"/>
    <w:rsid w:val="00676832"/>
    <w:rsid w:val="00677474"/>
    <w:rsid w:val="00677CBF"/>
    <w:rsid w:val="00680EBD"/>
    <w:rsid w:val="006837E8"/>
    <w:rsid w:val="0068729B"/>
    <w:rsid w:val="00692157"/>
    <w:rsid w:val="00692DF4"/>
    <w:rsid w:val="0069408D"/>
    <w:rsid w:val="006956D4"/>
    <w:rsid w:val="006974C6"/>
    <w:rsid w:val="006A0619"/>
    <w:rsid w:val="006A35D8"/>
    <w:rsid w:val="006A5D80"/>
    <w:rsid w:val="006B25A5"/>
    <w:rsid w:val="006B3870"/>
    <w:rsid w:val="006B5199"/>
    <w:rsid w:val="006B7B68"/>
    <w:rsid w:val="006B7D0A"/>
    <w:rsid w:val="006C1F74"/>
    <w:rsid w:val="006C2CEC"/>
    <w:rsid w:val="006C701F"/>
    <w:rsid w:val="006D006D"/>
    <w:rsid w:val="006D0FCC"/>
    <w:rsid w:val="006D1104"/>
    <w:rsid w:val="006D29B7"/>
    <w:rsid w:val="006D641A"/>
    <w:rsid w:val="006D6529"/>
    <w:rsid w:val="006D6730"/>
    <w:rsid w:val="006D6C82"/>
    <w:rsid w:val="006E0284"/>
    <w:rsid w:val="006E0302"/>
    <w:rsid w:val="006E27EF"/>
    <w:rsid w:val="006E2D5C"/>
    <w:rsid w:val="006E57B9"/>
    <w:rsid w:val="006F05C2"/>
    <w:rsid w:val="006F4B17"/>
    <w:rsid w:val="006F5912"/>
    <w:rsid w:val="006F6B71"/>
    <w:rsid w:val="006F7A8B"/>
    <w:rsid w:val="00703E46"/>
    <w:rsid w:val="0070505C"/>
    <w:rsid w:val="007053C5"/>
    <w:rsid w:val="00706317"/>
    <w:rsid w:val="0071322A"/>
    <w:rsid w:val="00716A21"/>
    <w:rsid w:val="00716B29"/>
    <w:rsid w:val="00717318"/>
    <w:rsid w:val="007219AF"/>
    <w:rsid w:val="007234AD"/>
    <w:rsid w:val="00726A06"/>
    <w:rsid w:val="00726AA8"/>
    <w:rsid w:val="00731DCC"/>
    <w:rsid w:val="007333AB"/>
    <w:rsid w:val="00734198"/>
    <w:rsid w:val="00734607"/>
    <w:rsid w:val="0073628E"/>
    <w:rsid w:val="007363A3"/>
    <w:rsid w:val="00736D75"/>
    <w:rsid w:val="00737204"/>
    <w:rsid w:val="00737775"/>
    <w:rsid w:val="00742CA6"/>
    <w:rsid w:val="007452B4"/>
    <w:rsid w:val="007479CF"/>
    <w:rsid w:val="0075292D"/>
    <w:rsid w:val="007553E0"/>
    <w:rsid w:val="007601A5"/>
    <w:rsid w:val="00763C32"/>
    <w:rsid w:val="00764394"/>
    <w:rsid w:val="00766A1D"/>
    <w:rsid w:val="00766A6D"/>
    <w:rsid w:val="007725B1"/>
    <w:rsid w:val="00773185"/>
    <w:rsid w:val="007801A9"/>
    <w:rsid w:val="00780A1E"/>
    <w:rsid w:val="007815D4"/>
    <w:rsid w:val="00781DC0"/>
    <w:rsid w:val="00781E36"/>
    <w:rsid w:val="00783AE2"/>
    <w:rsid w:val="007861C4"/>
    <w:rsid w:val="0079002C"/>
    <w:rsid w:val="00791FB9"/>
    <w:rsid w:val="007922FF"/>
    <w:rsid w:val="00793498"/>
    <w:rsid w:val="00796069"/>
    <w:rsid w:val="00796586"/>
    <w:rsid w:val="007A6E3E"/>
    <w:rsid w:val="007B1BBA"/>
    <w:rsid w:val="007B4179"/>
    <w:rsid w:val="007B52CA"/>
    <w:rsid w:val="007B6202"/>
    <w:rsid w:val="007B70EA"/>
    <w:rsid w:val="007C28A9"/>
    <w:rsid w:val="007C2BAB"/>
    <w:rsid w:val="007C5A3B"/>
    <w:rsid w:val="007C5EB6"/>
    <w:rsid w:val="007C7F88"/>
    <w:rsid w:val="007D0285"/>
    <w:rsid w:val="007D4747"/>
    <w:rsid w:val="007E0203"/>
    <w:rsid w:val="007E79FC"/>
    <w:rsid w:val="007F0030"/>
    <w:rsid w:val="007F22FE"/>
    <w:rsid w:val="007F289E"/>
    <w:rsid w:val="007F475B"/>
    <w:rsid w:val="007F4AD7"/>
    <w:rsid w:val="007F5977"/>
    <w:rsid w:val="007F6758"/>
    <w:rsid w:val="00800F9F"/>
    <w:rsid w:val="00802A43"/>
    <w:rsid w:val="00806499"/>
    <w:rsid w:val="00807406"/>
    <w:rsid w:val="008122D1"/>
    <w:rsid w:val="0081312E"/>
    <w:rsid w:val="00814F34"/>
    <w:rsid w:val="0081606A"/>
    <w:rsid w:val="00820091"/>
    <w:rsid w:val="0082219C"/>
    <w:rsid w:val="008234A5"/>
    <w:rsid w:val="00823B63"/>
    <w:rsid w:val="00830B1C"/>
    <w:rsid w:val="0083146D"/>
    <w:rsid w:val="00832BE4"/>
    <w:rsid w:val="00833F7D"/>
    <w:rsid w:val="00835673"/>
    <w:rsid w:val="00835C65"/>
    <w:rsid w:val="00842597"/>
    <w:rsid w:val="0085192A"/>
    <w:rsid w:val="00856463"/>
    <w:rsid w:val="008566D3"/>
    <w:rsid w:val="00856ADC"/>
    <w:rsid w:val="00860897"/>
    <w:rsid w:val="0086233C"/>
    <w:rsid w:val="00866B4D"/>
    <w:rsid w:val="00867C7D"/>
    <w:rsid w:val="00867DAC"/>
    <w:rsid w:val="008700AF"/>
    <w:rsid w:val="008723AF"/>
    <w:rsid w:val="00872B7C"/>
    <w:rsid w:val="008732FC"/>
    <w:rsid w:val="00874836"/>
    <w:rsid w:val="00874AD7"/>
    <w:rsid w:val="008764AF"/>
    <w:rsid w:val="00881E73"/>
    <w:rsid w:val="00885ED7"/>
    <w:rsid w:val="00886201"/>
    <w:rsid w:val="0088787D"/>
    <w:rsid w:val="00892981"/>
    <w:rsid w:val="008964C3"/>
    <w:rsid w:val="008971FF"/>
    <w:rsid w:val="008975A5"/>
    <w:rsid w:val="008A0625"/>
    <w:rsid w:val="008A0738"/>
    <w:rsid w:val="008A25B0"/>
    <w:rsid w:val="008A2B21"/>
    <w:rsid w:val="008A3BA8"/>
    <w:rsid w:val="008A68AA"/>
    <w:rsid w:val="008A778E"/>
    <w:rsid w:val="008A7E12"/>
    <w:rsid w:val="008A7EB3"/>
    <w:rsid w:val="008B02AA"/>
    <w:rsid w:val="008B2807"/>
    <w:rsid w:val="008B6C65"/>
    <w:rsid w:val="008B6CE4"/>
    <w:rsid w:val="008B6FC6"/>
    <w:rsid w:val="008C18F5"/>
    <w:rsid w:val="008C3F8F"/>
    <w:rsid w:val="008C5654"/>
    <w:rsid w:val="008C7407"/>
    <w:rsid w:val="008D24CB"/>
    <w:rsid w:val="008D2BF0"/>
    <w:rsid w:val="008D4D6E"/>
    <w:rsid w:val="008D651E"/>
    <w:rsid w:val="008E080F"/>
    <w:rsid w:val="008E0C0D"/>
    <w:rsid w:val="008E24EB"/>
    <w:rsid w:val="008E2ECF"/>
    <w:rsid w:val="008E4874"/>
    <w:rsid w:val="008E5F88"/>
    <w:rsid w:val="008E7BF9"/>
    <w:rsid w:val="008F1606"/>
    <w:rsid w:val="008F1F1D"/>
    <w:rsid w:val="008F25B9"/>
    <w:rsid w:val="008F5611"/>
    <w:rsid w:val="008F79F6"/>
    <w:rsid w:val="00901759"/>
    <w:rsid w:val="00902817"/>
    <w:rsid w:val="00902ACD"/>
    <w:rsid w:val="00902EED"/>
    <w:rsid w:val="009153BA"/>
    <w:rsid w:val="009153C8"/>
    <w:rsid w:val="009161F4"/>
    <w:rsid w:val="00916C7B"/>
    <w:rsid w:val="0091733A"/>
    <w:rsid w:val="009176A5"/>
    <w:rsid w:val="00917B73"/>
    <w:rsid w:val="00920E5C"/>
    <w:rsid w:val="00921957"/>
    <w:rsid w:val="00923B12"/>
    <w:rsid w:val="00924D15"/>
    <w:rsid w:val="00927AA1"/>
    <w:rsid w:val="00930005"/>
    <w:rsid w:val="00932794"/>
    <w:rsid w:val="00933716"/>
    <w:rsid w:val="00933C87"/>
    <w:rsid w:val="0093446F"/>
    <w:rsid w:val="009352E3"/>
    <w:rsid w:val="00937342"/>
    <w:rsid w:val="00940328"/>
    <w:rsid w:val="009416AE"/>
    <w:rsid w:val="00946FF6"/>
    <w:rsid w:val="00952149"/>
    <w:rsid w:val="00952947"/>
    <w:rsid w:val="00956EF9"/>
    <w:rsid w:val="00957323"/>
    <w:rsid w:val="00957708"/>
    <w:rsid w:val="00960D37"/>
    <w:rsid w:val="00961D41"/>
    <w:rsid w:val="00962477"/>
    <w:rsid w:val="00964F77"/>
    <w:rsid w:val="00965921"/>
    <w:rsid w:val="00966938"/>
    <w:rsid w:val="00973443"/>
    <w:rsid w:val="009754C9"/>
    <w:rsid w:val="009808E7"/>
    <w:rsid w:val="0098295F"/>
    <w:rsid w:val="00983812"/>
    <w:rsid w:val="00984B42"/>
    <w:rsid w:val="0098689D"/>
    <w:rsid w:val="00987CC5"/>
    <w:rsid w:val="009944B1"/>
    <w:rsid w:val="0099622B"/>
    <w:rsid w:val="009A2B5C"/>
    <w:rsid w:val="009A2DBD"/>
    <w:rsid w:val="009B06BE"/>
    <w:rsid w:val="009B0930"/>
    <w:rsid w:val="009B2768"/>
    <w:rsid w:val="009B7BAA"/>
    <w:rsid w:val="009C01B5"/>
    <w:rsid w:val="009C08B5"/>
    <w:rsid w:val="009C10C8"/>
    <w:rsid w:val="009C1894"/>
    <w:rsid w:val="009C2A95"/>
    <w:rsid w:val="009C3F1C"/>
    <w:rsid w:val="009C4F23"/>
    <w:rsid w:val="009C5E62"/>
    <w:rsid w:val="009C5F38"/>
    <w:rsid w:val="009C7C76"/>
    <w:rsid w:val="009D1DBB"/>
    <w:rsid w:val="009D352A"/>
    <w:rsid w:val="009D3AF4"/>
    <w:rsid w:val="009D4A63"/>
    <w:rsid w:val="009D6B03"/>
    <w:rsid w:val="009E1A95"/>
    <w:rsid w:val="009E3369"/>
    <w:rsid w:val="009E541F"/>
    <w:rsid w:val="009E6029"/>
    <w:rsid w:val="009E61FE"/>
    <w:rsid w:val="009E6683"/>
    <w:rsid w:val="009E6969"/>
    <w:rsid w:val="009E78E6"/>
    <w:rsid w:val="009F3050"/>
    <w:rsid w:val="009F4D7D"/>
    <w:rsid w:val="009F5541"/>
    <w:rsid w:val="009F678F"/>
    <w:rsid w:val="00A028FE"/>
    <w:rsid w:val="00A04C36"/>
    <w:rsid w:val="00A04DE0"/>
    <w:rsid w:val="00A0665A"/>
    <w:rsid w:val="00A10C5A"/>
    <w:rsid w:val="00A1265D"/>
    <w:rsid w:val="00A16773"/>
    <w:rsid w:val="00A2225A"/>
    <w:rsid w:val="00A235ED"/>
    <w:rsid w:val="00A23C22"/>
    <w:rsid w:val="00A253F7"/>
    <w:rsid w:val="00A30C1C"/>
    <w:rsid w:val="00A30E29"/>
    <w:rsid w:val="00A34AD9"/>
    <w:rsid w:val="00A40528"/>
    <w:rsid w:val="00A414E0"/>
    <w:rsid w:val="00A426EB"/>
    <w:rsid w:val="00A437B3"/>
    <w:rsid w:val="00A454E3"/>
    <w:rsid w:val="00A462F8"/>
    <w:rsid w:val="00A47351"/>
    <w:rsid w:val="00A475BF"/>
    <w:rsid w:val="00A50384"/>
    <w:rsid w:val="00A51A7C"/>
    <w:rsid w:val="00A51C20"/>
    <w:rsid w:val="00A61A1A"/>
    <w:rsid w:val="00A62B7F"/>
    <w:rsid w:val="00A631D6"/>
    <w:rsid w:val="00A6358C"/>
    <w:rsid w:val="00A6370C"/>
    <w:rsid w:val="00A63BBE"/>
    <w:rsid w:val="00A6568B"/>
    <w:rsid w:val="00A665D2"/>
    <w:rsid w:val="00A668EB"/>
    <w:rsid w:val="00A7732D"/>
    <w:rsid w:val="00A77765"/>
    <w:rsid w:val="00A817D5"/>
    <w:rsid w:val="00A84D11"/>
    <w:rsid w:val="00A861B8"/>
    <w:rsid w:val="00A87256"/>
    <w:rsid w:val="00A8733C"/>
    <w:rsid w:val="00A92E89"/>
    <w:rsid w:val="00A946E7"/>
    <w:rsid w:val="00A9571C"/>
    <w:rsid w:val="00AA0958"/>
    <w:rsid w:val="00AA3376"/>
    <w:rsid w:val="00AB02A7"/>
    <w:rsid w:val="00AB1CF4"/>
    <w:rsid w:val="00AB3C3F"/>
    <w:rsid w:val="00AB40A2"/>
    <w:rsid w:val="00AB4821"/>
    <w:rsid w:val="00AB4834"/>
    <w:rsid w:val="00AB6633"/>
    <w:rsid w:val="00AB6929"/>
    <w:rsid w:val="00AC60BA"/>
    <w:rsid w:val="00AD3082"/>
    <w:rsid w:val="00AD37A1"/>
    <w:rsid w:val="00AD38C8"/>
    <w:rsid w:val="00AD3C35"/>
    <w:rsid w:val="00AD65F9"/>
    <w:rsid w:val="00AE1F11"/>
    <w:rsid w:val="00AE3552"/>
    <w:rsid w:val="00AE4C93"/>
    <w:rsid w:val="00AE5089"/>
    <w:rsid w:val="00AE5B70"/>
    <w:rsid w:val="00AF0B49"/>
    <w:rsid w:val="00AF3558"/>
    <w:rsid w:val="00AF5A1A"/>
    <w:rsid w:val="00B0096C"/>
    <w:rsid w:val="00B024F7"/>
    <w:rsid w:val="00B03C43"/>
    <w:rsid w:val="00B21E64"/>
    <w:rsid w:val="00B23071"/>
    <w:rsid w:val="00B32D71"/>
    <w:rsid w:val="00B34FE6"/>
    <w:rsid w:val="00B3520B"/>
    <w:rsid w:val="00B3749A"/>
    <w:rsid w:val="00B40E2D"/>
    <w:rsid w:val="00B4554F"/>
    <w:rsid w:val="00B46125"/>
    <w:rsid w:val="00B47056"/>
    <w:rsid w:val="00B50D33"/>
    <w:rsid w:val="00B53856"/>
    <w:rsid w:val="00B64CE0"/>
    <w:rsid w:val="00B64F07"/>
    <w:rsid w:val="00B67452"/>
    <w:rsid w:val="00B7197B"/>
    <w:rsid w:val="00B7482B"/>
    <w:rsid w:val="00B74B70"/>
    <w:rsid w:val="00B8219F"/>
    <w:rsid w:val="00B83BE9"/>
    <w:rsid w:val="00B85380"/>
    <w:rsid w:val="00B86125"/>
    <w:rsid w:val="00B873EF"/>
    <w:rsid w:val="00B930EA"/>
    <w:rsid w:val="00B93D19"/>
    <w:rsid w:val="00B947FB"/>
    <w:rsid w:val="00B9526C"/>
    <w:rsid w:val="00B96DF3"/>
    <w:rsid w:val="00BA0A67"/>
    <w:rsid w:val="00BA1460"/>
    <w:rsid w:val="00BA1F67"/>
    <w:rsid w:val="00BA2899"/>
    <w:rsid w:val="00BA33F2"/>
    <w:rsid w:val="00BA5981"/>
    <w:rsid w:val="00BA65D6"/>
    <w:rsid w:val="00BA6E56"/>
    <w:rsid w:val="00BA7B9B"/>
    <w:rsid w:val="00BB0D71"/>
    <w:rsid w:val="00BB15A6"/>
    <w:rsid w:val="00BB1A8D"/>
    <w:rsid w:val="00BB3AD4"/>
    <w:rsid w:val="00BB43E8"/>
    <w:rsid w:val="00BB75C0"/>
    <w:rsid w:val="00BB7E0C"/>
    <w:rsid w:val="00BC4D0C"/>
    <w:rsid w:val="00BD1CF0"/>
    <w:rsid w:val="00BD22C6"/>
    <w:rsid w:val="00BD6397"/>
    <w:rsid w:val="00BD7716"/>
    <w:rsid w:val="00BE5555"/>
    <w:rsid w:val="00BF06B6"/>
    <w:rsid w:val="00BF35EF"/>
    <w:rsid w:val="00BF42A7"/>
    <w:rsid w:val="00BF669C"/>
    <w:rsid w:val="00BF6945"/>
    <w:rsid w:val="00BF7BD8"/>
    <w:rsid w:val="00C07405"/>
    <w:rsid w:val="00C11986"/>
    <w:rsid w:val="00C11B7D"/>
    <w:rsid w:val="00C12877"/>
    <w:rsid w:val="00C1302D"/>
    <w:rsid w:val="00C144F5"/>
    <w:rsid w:val="00C14D75"/>
    <w:rsid w:val="00C20D20"/>
    <w:rsid w:val="00C214DA"/>
    <w:rsid w:val="00C23CD1"/>
    <w:rsid w:val="00C25A77"/>
    <w:rsid w:val="00C25C36"/>
    <w:rsid w:val="00C316D3"/>
    <w:rsid w:val="00C31DF2"/>
    <w:rsid w:val="00C32484"/>
    <w:rsid w:val="00C32842"/>
    <w:rsid w:val="00C32A4B"/>
    <w:rsid w:val="00C34FF5"/>
    <w:rsid w:val="00C36365"/>
    <w:rsid w:val="00C400C4"/>
    <w:rsid w:val="00C40DA2"/>
    <w:rsid w:val="00C45370"/>
    <w:rsid w:val="00C4620F"/>
    <w:rsid w:val="00C52572"/>
    <w:rsid w:val="00C53343"/>
    <w:rsid w:val="00C54A56"/>
    <w:rsid w:val="00C55DCF"/>
    <w:rsid w:val="00C56C85"/>
    <w:rsid w:val="00C57036"/>
    <w:rsid w:val="00C5756B"/>
    <w:rsid w:val="00C577F1"/>
    <w:rsid w:val="00C6054E"/>
    <w:rsid w:val="00C6503D"/>
    <w:rsid w:val="00C6545C"/>
    <w:rsid w:val="00C659E6"/>
    <w:rsid w:val="00C66EB8"/>
    <w:rsid w:val="00C712A5"/>
    <w:rsid w:val="00C716DE"/>
    <w:rsid w:val="00C73245"/>
    <w:rsid w:val="00C76FFD"/>
    <w:rsid w:val="00C7752D"/>
    <w:rsid w:val="00C820E1"/>
    <w:rsid w:val="00C82B8E"/>
    <w:rsid w:val="00C82FB2"/>
    <w:rsid w:val="00C8527B"/>
    <w:rsid w:val="00C85650"/>
    <w:rsid w:val="00C870D5"/>
    <w:rsid w:val="00C90B81"/>
    <w:rsid w:val="00C941F6"/>
    <w:rsid w:val="00CA0575"/>
    <w:rsid w:val="00CA16CC"/>
    <w:rsid w:val="00CA2455"/>
    <w:rsid w:val="00CA4318"/>
    <w:rsid w:val="00CA4920"/>
    <w:rsid w:val="00CA49D9"/>
    <w:rsid w:val="00CA63CA"/>
    <w:rsid w:val="00CB0F2A"/>
    <w:rsid w:val="00CB11A4"/>
    <w:rsid w:val="00CB1A44"/>
    <w:rsid w:val="00CB3244"/>
    <w:rsid w:val="00CB4139"/>
    <w:rsid w:val="00CB5998"/>
    <w:rsid w:val="00CB651B"/>
    <w:rsid w:val="00CC2277"/>
    <w:rsid w:val="00CC2C1F"/>
    <w:rsid w:val="00CC3914"/>
    <w:rsid w:val="00CC7A4D"/>
    <w:rsid w:val="00CD223B"/>
    <w:rsid w:val="00CD763F"/>
    <w:rsid w:val="00CD7AF4"/>
    <w:rsid w:val="00CE0FBB"/>
    <w:rsid w:val="00CE10D5"/>
    <w:rsid w:val="00CE6AF4"/>
    <w:rsid w:val="00CF0DB5"/>
    <w:rsid w:val="00CF2021"/>
    <w:rsid w:val="00CF2A4E"/>
    <w:rsid w:val="00CF2C34"/>
    <w:rsid w:val="00CF76A5"/>
    <w:rsid w:val="00D048B4"/>
    <w:rsid w:val="00D06795"/>
    <w:rsid w:val="00D07F5B"/>
    <w:rsid w:val="00D17A62"/>
    <w:rsid w:val="00D207D2"/>
    <w:rsid w:val="00D2106A"/>
    <w:rsid w:val="00D2404E"/>
    <w:rsid w:val="00D32583"/>
    <w:rsid w:val="00D40546"/>
    <w:rsid w:val="00D42DF7"/>
    <w:rsid w:val="00D44AF4"/>
    <w:rsid w:val="00D451EE"/>
    <w:rsid w:val="00D476AF"/>
    <w:rsid w:val="00D5225C"/>
    <w:rsid w:val="00D53E7C"/>
    <w:rsid w:val="00D549DA"/>
    <w:rsid w:val="00D557E8"/>
    <w:rsid w:val="00D56CBE"/>
    <w:rsid w:val="00D63364"/>
    <w:rsid w:val="00D633E4"/>
    <w:rsid w:val="00D63D0D"/>
    <w:rsid w:val="00D6474C"/>
    <w:rsid w:val="00D64F0D"/>
    <w:rsid w:val="00D66ACC"/>
    <w:rsid w:val="00D708C8"/>
    <w:rsid w:val="00D7142D"/>
    <w:rsid w:val="00D71982"/>
    <w:rsid w:val="00D741E7"/>
    <w:rsid w:val="00D76440"/>
    <w:rsid w:val="00D81C06"/>
    <w:rsid w:val="00D84C2F"/>
    <w:rsid w:val="00D866E5"/>
    <w:rsid w:val="00D901D6"/>
    <w:rsid w:val="00D912C3"/>
    <w:rsid w:val="00D92173"/>
    <w:rsid w:val="00D9308A"/>
    <w:rsid w:val="00D94019"/>
    <w:rsid w:val="00D94DD5"/>
    <w:rsid w:val="00DA3556"/>
    <w:rsid w:val="00DA417A"/>
    <w:rsid w:val="00DA41A5"/>
    <w:rsid w:val="00DA44CB"/>
    <w:rsid w:val="00DA6D40"/>
    <w:rsid w:val="00DB055C"/>
    <w:rsid w:val="00DB07E2"/>
    <w:rsid w:val="00DB1199"/>
    <w:rsid w:val="00DB2BAA"/>
    <w:rsid w:val="00DB3861"/>
    <w:rsid w:val="00DB58BA"/>
    <w:rsid w:val="00DB7048"/>
    <w:rsid w:val="00DC138A"/>
    <w:rsid w:val="00DD2914"/>
    <w:rsid w:val="00DD53B0"/>
    <w:rsid w:val="00DD6A83"/>
    <w:rsid w:val="00DE0B3E"/>
    <w:rsid w:val="00DE193C"/>
    <w:rsid w:val="00DE3ED6"/>
    <w:rsid w:val="00DE4E90"/>
    <w:rsid w:val="00DF421C"/>
    <w:rsid w:val="00E01996"/>
    <w:rsid w:val="00E108A6"/>
    <w:rsid w:val="00E10C8D"/>
    <w:rsid w:val="00E11877"/>
    <w:rsid w:val="00E15819"/>
    <w:rsid w:val="00E15D23"/>
    <w:rsid w:val="00E16C4F"/>
    <w:rsid w:val="00E21D55"/>
    <w:rsid w:val="00E22C49"/>
    <w:rsid w:val="00E23A0F"/>
    <w:rsid w:val="00E25573"/>
    <w:rsid w:val="00E2745F"/>
    <w:rsid w:val="00E3074A"/>
    <w:rsid w:val="00E30DDB"/>
    <w:rsid w:val="00E32DFA"/>
    <w:rsid w:val="00E32E1B"/>
    <w:rsid w:val="00E36375"/>
    <w:rsid w:val="00E36E77"/>
    <w:rsid w:val="00E40E88"/>
    <w:rsid w:val="00E41325"/>
    <w:rsid w:val="00E43CFC"/>
    <w:rsid w:val="00E443E4"/>
    <w:rsid w:val="00E4786D"/>
    <w:rsid w:val="00E52B32"/>
    <w:rsid w:val="00E52DD4"/>
    <w:rsid w:val="00E54CBC"/>
    <w:rsid w:val="00E6021D"/>
    <w:rsid w:val="00E617AC"/>
    <w:rsid w:val="00E634E7"/>
    <w:rsid w:val="00E658A7"/>
    <w:rsid w:val="00E6623F"/>
    <w:rsid w:val="00E70149"/>
    <w:rsid w:val="00E7020D"/>
    <w:rsid w:val="00E706A0"/>
    <w:rsid w:val="00E707D1"/>
    <w:rsid w:val="00E70C57"/>
    <w:rsid w:val="00E712E5"/>
    <w:rsid w:val="00E76A01"/>
    <w:rsid w:val="00E76DED"/>
    <w:rsid w:val="00E816A9"/>
    <w:rsid w:val="00E856FD"/>
    <w:rsid w:val="00E871A7"/>
    <w:rsid w:val="00E87AD1"/>
    <w:rsid w:val="00E90297"/>
    <w:rsid w:val="00E90587"/>
    <w:rsid w:val="00E92F4A"/>
    <w:rsid w:val="00E931BA"/>
    <w:rsid w:val="00E9335F"/>
    <w:rsid w:val="00E935C3"/>
    <w:rsid w:val="00E941FB"/>
    <w:rsid w:val="00E94242"/>
    <w:rsid w:val="00E956D3"/>
    <w:rsid w:val="00EA4C45"/>
    <w:rsid w:val="00EA5E89"/>
    <w:rsid w:val="00EA6D18"/>
    <w:rsid w:val="00EA7876"/>
    <w:rsid w:val="00EB1110"/>
    <w:rsid w:val="00EB276D"/>
    <w:rsid w:val="00EB2CA1"/>
    <w:rsid w:val="00EB2EF0"/>
    <w:rsid w:val="00EB4449"/>
    <w:rsid w:val="00EB5EC5"/>
    <w:rsid w:val="00EB7672"/>
    <w:rsid w:val="00EB7CC6"/>
    <w:rsid w:val="00EC035E"/>
    <w:rsid w:val="00EC07F7"/>
    <w:rsid w:val="00EC1418"/>
    <w:rsid w:val="00EC1B39"/>
    <w:rsid w:val="00EC65D1"/>
    <w:rsid w:val="00EC67E8"/>
    <w:rsid w:val="00EC6F91"/>
    <w:rsid w:val="00EC7CCF"/>
    <w:rsid w:val="00ED2434"/>
    <w:rsid w:val="00ED4CA3"/>
    <w:rsid w:val="00ED7385"/>
    <w:rsid w:val="00EE209A"/>
    <w:rsid w:val="00EE33CE"/>
    <w:rsid w:val="00EE64A3"/>
    <w:rsid w:val="00EE78F3"/>
    <w:rsid w:val="00EF0537"/>
    <w:rsid w:val="00EF1499"/>
    <w:rsid w:val="00EF39D2"/>
    <w:rsid w:val="00EF7BE2"/>
    <w:rsid w:val="00F009E7"/>
    <w:rsid w:val="00F042B1"/>
    <w:rsid w:val="00F04950"/>
    <w:rsid w:val="00F056E9"/>
    <w:rsid w:val="00F06256"/>
    <w:rsid w:val="00F06AC5"/>
    <w:rsid w:val="00F14E51"/>
    <w:rsid w:val="00F1574E"/>
    <w:rsid w:val="00F15924"/>
    <w:rsid w:val="00F16CD3"/>
    <w:rsid w:val="00F16DE0"/>
    <w:rsid w:val="00F17250"/>
    <w:rsid w:val="00F22722"/>
    <w:rsid w:val="00F23516"/>
    <w:rsid w:val="00F24743"/>
    <w:rsid w:val="00F27D73"/>
    <w:rsid w:val="00F35E15"/>
    <w:rsid w:val="00F37FC7"/>
    <w:rsid w:val="00F40A88"/>
    <w:rsid w:val="00F42B73"/>
    <w:rsid w:val="00F42C0B"/>
    <w:rsid w:val="00F519EB"/>
    <w:rsid w:val="00F60A25"/>
    <w:rsid w:val="00F61E09"/>
    <w:rsid w:val="00F62428"/>
    <w:rsid w:val="00F6306D"/>
    <w:rsid w:val="00F66589"/>
    <w:rsid w:val="00F67239"/>
    <w:rsid w:val="00F72FFA"/>
    <w:rsid w:val="00F73A5E"/>
    <w:rsid w:val="00F74D3B"/>
    <w:rsid w:val="00F75199"/>
    <w:rsid w:val="00F77CFB"/>
    <w:rsid w:val="00F806E1"/>
    <w:rsid w:val="00F8287A"/>
    <w:rsid w:val="00F83F92"/>
    <w:rsid w:val="00F8577B"/>
    <w:rsid w:val="00F868B9"/>
    <w:rsid w:val="00F86E9E"/>
    <w:rsid w:val="00F87138"/>
    <w:rsid w:val="00F92AFD"/>
    <w:rsid w:val="00F96878"/>
    <w:rsid w:val="00F97650"/>
    <w:rsid w:val="00F97A9D"/>
    <w:rsid w:val="00FA01B5"/>
    <w:rsid w:val="00FA126B"/>
    <w:rsid w:val="00FA341C"/>
    <w:rsid w:val="00FA3CF5"/>
    <w:rsid w:val="00FA44F7"/>
    <w:rsid w:val="00FB101D"/>
    <w:rsid w:val="00FB2812"/>
    <w:rsid w:val="00FB2A8A"/>
    <w:rsid w:val="00FB5A82"/>
    <w:rsid w:val="00FB7B2E"/>
    <w:rsid w:val="00FC14F2"/>
    <w:rsid w:val="00FC53F9"/>
    <w:rsid w:val="00FC7AB3"/>
    <w:rsid w:val="00FD03D4"/>
    <w:rsid w:val="00FD1F72"/>
    <w:rsid w:val="00FD3AC4"/>
    <w:rsid w:val="00FD3B5B"/>
    <w:rsid w:val="00FD4875"/>
    <w:rsid w:val="00FD5684"/>
    <w:rsid w:val="00FD5F15"/>
    <w:rsid w:val="00FD77BF"/>
    <w:rsid w:val="00FE3031"/>
    <w:rsid w:val="00FE506B"/>
    <w:rsid w:val="00FE6D3B"/>
    <w:rsid w:val="00FF2BD1"/>
    <w:rsid w:val="00FF3C67"/>
    <w:rsid w:val="00FF507B"/>
    <w:rsid w:val="00FF5D92"/>
    <w:rsid w:val="00FF6D2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5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D4B"/>
    <w:rPr>
      <w:rFonts w:ascii="Verdana" w:hAnsi="Verdana"/>
    </w:rPr>
  </w:style>
  <w:style w:type="paragraph" w:styleId="Heading1">
    <w:name w:val="heading 1"/>
    <w:basedOn w:val="Normal"/>
    <w:next w:val="Normal"/>
    <w:link w:val="Heading1Char"/>
    <w:uiPriority w:val="9"/>
    <w:qFormat/>
    <w:rsid w:val="00CA49D9"/>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A49D9"/>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A49D9"/>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A49D9"/>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18"/>
    <w:rPr>
      <w:rFonts w:ascii="Tahoma" w:hAnsi="Tahoma" w:cs="Tahoma"/>
      <w:sz w:val="16"/>
      <w:szCs w:val="16"/>
    </w:rPr>
  </w:style>
  <w:style w:type="character" w:customStyle="1" w:styleId="Heading1Char">
    <w:name w:val="Heading 1 Char"/>
    <w:basedOn w:val="DefaultParagraphFont"/>
    <w:link w:val="Heading1"/>
    <w:uiPriority w:val="9"/>
    <w:rsid w:val="00CA49D9"/>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CA49D9"/>
    <w:rPr>
      <w:rFonts w:ascii="Verdana" w:eastAsiaTheme="majorEastAsia" w:hAnsi="Verdana" w:cstheme="majorBidi"/>
      <w:b/>
      <w:bCs/>
      <w:sz w:val="26"/>
      <w:szCs w:val="26"/>
    </w:rPr>
  </w:style>
  <w:style w:type="paragraph" w:styleId="ListParagraph">
    <w:name w:val="List Paragraph"/>
    <w:basedOn w:val="Normal"/>
    <w:uiPriority w:val="34"/>
    <w:qFormat/>
    <w:rsid w:val="00151DD8"/>
    <w:pPr>
      <w:ind w:left="720"/>
      <w:contextualSpacing/>
    </w:pPr>
  </w:style>
  <w:style w:type="character" w:styleId="Hyperlink">
    <w:name w:val="Hyperlink"/>
    <w:basedOn w:val="DefaultParagraphFont"/>
    <w:uiPriority w:val="99"/>
    <w:unhideWhenUsed/>
    <w:rsid w:val="00CC2277"/>
    <w:rPr>
      <w:color w:val="0000FF" w:themeColor="hyperlink"/>
      <w:u w:val="single"/>
    </w:rPr>
  </w:style>
  <w:style w:type="paragraph" w:styleId="FootnoteText">
    <w:name w:val="footnote text"/>
    <w:basedOn w:val="Normal"/>
    <w:link w:val="FootnoteTextChar"/>
    <w:uiPriority w:val="99"/>
    <w:unhideWhenUsed/>
    <w:rsid w:val="00CC2277"/>
    <w:pPr>
      <w:spacing w:after="0" w:line="240" w:lineRule="auto"/>
    </w:pPr>
    <w:rPr>
      <w:rFonts w:ascii="Calibri" w:hAnsi="Calibri"/>
      <w:sz w:val="20"/>
      <w:szCs w:val="20"/>
      <w:lang w:val="en-GB"/>
    </w:rPr>
  </w:style>
  <w:style w:type="character" w:customStyle="1" w:styleId="FootnoteTextChar">
    <w:name w:val="Footnote Text Char"/>
    <w:basedOn w:val="DefaultParagraphFont"/>
    <w:link w:val="FootnoteText"/>
    <w:uiPriority w:val="99"/>
    <w:rsid w:val="00CC2277"/>
    <w:rPr>
      <w:rFonts w:ascii="Calibri" w:hAnsi="Calibri"/>
      <w:sz w:val="20"/>
      <w:szCs w:val="20"/>
      <w:lang w:val="en-GB"/>
    </w:rPr>
  </w:style>
  <w:style w:type="character" w:styleId="FootnoteReference">
    <w:name w:val="footnote reference"/>
    <w:basedOn w:val="DefaultParagraphFont"/>
    <w:uiPriority w:val="99"/>
    <w:unhideWhenUsed/>
    <w:rsid w:val="00CC2277"/>
    <w:rPr>
      <w:vertAlign w:val="superscript"/>
    </w:rPr>
  </w:style>
  <w:style w:type="paragraph" w:styleId="HTMLPreformatted">
    <w:name w:val="HTML Preformatted"/>
    <w:basedOn w:val="Normal"/>
    <w:link w:val="HTMLPreformattedChar"/>
    <w:uiPriority w:val="99"/>
    <w:unhideWhenUsed/>
    <w:rsid w:val="00C14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sid w:val="00C14D75"/>
    <w:rPr>
      <w:rFonts w:ascii="Courier New" w:eastAsia="Times New Roman" w:hAnsi="Courier New" w:cs="Courier New"/>
      <w:sz w:val="20"/>
      <w:szCs w:val="20"/>
      <w:lang w:eastAsia="de-DE"/>
    </w:rPr>
  </w:style>
  <w:style w:type="paragraph" w:customStyle="1" w:styleId="Default">
    <w:name w:val="Default"/>
    <w:rsid w:val="00737775"/>
    <w:pPr>
      <w:autoSpaceDE w:val="0"/>
      <w:autoSpaceDN w:val="0"/>
      <w:adjustRightInd w:val="0"/>
      <w:spacing w:after="0" w:line="240" w:lineRule="auto"/>
    </w:pPr>
    <w:rPr>
      <w:rFonts w:ascii="Calibri" w:eastAsia="Times New Roman" w:hAnsi="Calibri" w:cs="Calibri"/>
      <w:color w:val="000000"/>
      <w:sz w:val="24"/>
      <w:szCs w:val="24"/>
      <w:lang w:val="fi-FI" w:eastAsia="fi-FI"/>
    </w:rPr>
  </w:style>
  <w:style w:type="character" w:customStyle="1" w:styleId="Heading3Char">
    <w:name w:val="Heading 3 Char"/>
    <w:basedOn w:val="DefaultParagraphFont"/>
    <w:link w:val="Heading3"/>
    <w:uiPriority w:val="9"/>
    <w:rsid w:val="00CA49D9"/>
    <w:rPr>
      <w:rFonts w:ascii="Verdana" w:eastAsiaTheme="majorEastAsia" w:hAnsi="Verdana" w:cstheme="majorBidi"/>
      <w:b/>
      <w:bCs/>
    </w:rPr>
  </w:style>
  <w:style w:type="paragraph" w:styleId="Header">
    <w:name w:val="header"/>
    <w:basedOn w:val="Normal"/>
    <w:link w:val="HeaderChar"/>
    <w:uiPriority w:val="99"/>
    <w:unhideWhenUsed/>
    <w:rsid w:val="007A6E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6E3E"/>
  </w:style>
  <w:style w:type="paragraph" w:styleId="Footer">
    <w:name w:val="footer"/>
    <w:basedOn w:val="Normal"/>
    <w:link w:val="FooterChar"/>
    <w:uiPriority w:val="99"/>
    <w:unhideWhenUsed/>
    <w:rsid w:val="007A6E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6E3E"/>
  </w:style>
  <w:style w:type="character" w:customStyle="1" w:styleId="Heading4Char">
    <w:name w:val="Heading 4 Char"/>
    <w:basedOn w:val="DefaultParagraphFont"/>
    <w:link w:val="Heading4"/>
    <w:uiPriority w:val="9"/>
    <w:rsid w:val="00CA49D9"/>
    <w:rPr>
      <w:rFonts w:ascii="Verdana" w:eastAsiaTheme="majorEastAsia" w:hAnsi="Verdana" w:cstheme="majorBidi"/>
      <w:b/>
      <w:bCs/>
      <w:i/>
      <w:iCs/>
    </w:rPr>
  </w:style>
  <w:style w:type="table" w:styleId="TableGrid">
    <w:name w:val="Table Grid"/>
    <w:basedOn w:val="TableNormal"/>
    <w:uiPriority w:val="59"/>
    <w:rsid w:val="002D5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21E64"/>
    <w:rPr>
      <w:color w:val="800080" w:themeColor="followedHyperlink"/>
      <w:u w:val="single"/>
    </w:rPr>
  </w:style>
  <w:style w:type="character" w:styleId="CommentReference">
    <w:name w:val="annotation reference"/>
    <w:basedOn w:val="DefaultParagraphFont"/>
    <w:uiPriority w:val="99"/>
    <w:semiHidden/>
    <w:unhideWhenUsed/>
    <w:rsid w:val="00672A0D"/>
    <w:rPr>
      <w:sz w:val="16"/>
      <w:szCs w:val="16"/>
    </w:rPr>
  </w:style>
  <w:style w:type="paragraph" w:styleId="CommentText">
    <w:name w:val="annotation text"/>
    <w:basedOn w:val="Normal"/>
    <w:link w:val="CommentTextChar"/>
    <w:uiPriority w:val="99"/>
    <w:semiHidden/>
    <w:unhideWhenUsed/>
    <w:rsid w:val="00672A0D"/>
    <w:pPr>
      <w:spacing w:line="240" w:lineRule="auto"/>
    </w:pPr>
    <w:rPr>
      <w:sz w:val="20"/>
      <w:szCs w:val="20"/>
    </w:rPr>
  </w:style>
  <w:style w:type="character" w:customStyle="1" w:styleId="CommentTextChar">
    <w:name w:val="Comment Text Char"/>
    <w:basedOn w:val="DefaultParagraphFont"/>
    <w:link w:val="CommentText"/>
    <w:uiPriority w:val="99"/>
    <w:semiHidden/>
    <w:rsid w:val="00672A0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72A0D"/>
    <w:rPr>
      <w:b/>
      <w:bCs/>
    </w:rPr>
  </w:style>
  <w:style w:type="character" w:customStyle="1" w:styleId="CommentSubjectChar">
    <w:name w:val="Comment Subject Char"/>
    <w:basedOn w:val="CommentTextChar"/>
    <w:link w:val="CommentSubject"/>
    <w:uiPriority w:val="99"/>
    <w:semiHidden/>
    <w:rsid w:val="00672A0D"/>
    <w:rPr>
      <w:rFonts w:ascii="Verdana" w:hAnsi="Verdana"/>
      <w:b/>
      <w:bCs/>
      <w:sz w:val="20"/>
      <w:szCs w:val="20"/>
    </w:rPr>
  </w:style>
  <w:style w:type="character" w:styleId="Strong">
    <w:name w:val="Strong"/>
    <w:basedOn w:val="DefaultParagraphFont"/>
    <w:uiPriority w:val="22"/>
    <w:qFormat/>
    <w:rsid w:val="005C228B"/>
    <w:rPr>
      <w:b/>
      <w:bCs/>
    </w:rPr>
  </w:style>
  <w:style w:type="paragraph" w:styleId="TOCHeading">
    <w:name w:val="TOC Heading"/>
    <w:basedOn w:val="Heading1"/>
    <w:next w:val="Normal"/>
    <w:uiPriority w:val="39"/>
    <w:semiHidden/>
    <w:unhideWhenUsed/>
    <w:qFormat/>
    <w:rsid w:val="00D84C2F"/>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D84C2F"/>
    <w:pPr>
      <w:spacing w:after="100"/>
    </w:pPr>
  </w:style>
  <w:style w:type="paragraph" w:styleId="TOC2">
    <w:name w:val="toc 2"/>
    <w:basedOn w:val="Normal"/>
    <w:next w:val="Normal"/>
    <w:autoRedefine/>
    <w:uiPriority w:val="39"/>
    <w:unhideWhenUsed/>
    <w:rsid w:val="00D84C2F"/>
    <w:pPr>
      <w:spacing w:after="100"/>
      <w:ind w:left="220"/>
    </w:pPr>
  </w:style>
  <w:style w:type="paragraph" w:styleId="TOC3">
    <w:name w:val="toc 3"/>
    <w:basedOn w:val="Normal"/>
    <w:next w:val="Normal"/>
    <w:autoRedefine/>
    <w:uiPriority w:val="39"/>
    <w:unhideWhenUsed/>
    <w:rsid w:val="00D84C2F"/>
    <w:pPr>
      <w:spacing w:after="100"/>
      <w:ind w:left="440"/>
    </w:pPr>
  </w:style>
  <w:style w:type="paragraph" w:styleId="EndnoteText">
    <w:name w:val="endnote text"/>
    <w:basedOn w:val="Normal"/>
    <w:link w:val="EndnoteTextChar"/>
    <w:uiPriority w:val="99"/>
    <w:unhideWhenUsed/>
    <w:rsid w:val="00024CEF"/>
    <w:pPr>
      <w:spacing w:after="0" w:line="240" w:lineRule="auto"/>
    </w:pPr>
    <w:rPr>
      <w:sz w:val="20"/>
      <w:szCs w:val="20"/>
    </w:rPr>
  </w:style>
  <w:style w:type="character" w:customStyle="1" w:styleId="EndnoteTextChar">
    <w:name w:val="Endnote Text Char"/>
    <w:basedOn w:val="DefaultParagraphFont"/>
    <w:link w:val="EndnoteText"/>
    <w:uiPriority w:val="99"/>
    <w:rsid w:val="00024CEF"/>
    <w:rPr>
      <w:rFonts w:ascii="Verdana" w:hAnsi="Verdana"/>
      <w:sz w:val="20"/>
      <w:szCs w:val="20"/>
    </w:rPr>
  </w:style>
  <w:style w:type="character" w:styleId="EndnoteReference">
    <w:name w:val="endnote reference"/>
    <w:basedOn w:val="DefaultParagraphFont"/>
    <w:uiPriority w:val="99"/>
    <w:unhideWhenUsed/>
    <w:rsid w:val="00024CEF"/>
    <w:rPr>
      <w:vertAlign w:val="superscript"/>
    </w:rPr>
  </w:style>
  <w:style w:type="character" w:customStyle="1" w:styleId="link-fake">
    <w:name w:val="link-fake"/>
    <w:basedOn w:val="DefaultParagraphFont"/>
    <w:rsid w:val="008A68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D4B"/>
    <w:rPr>
      <w:rFonts w:ascii="Verdana" w:hAnsi="Verdana"/>
    </w:rPr>
  </w:style>
  <w:style w:type="paragraph" w:styleId="Heading1">
    <w:name w:val="heading 1"/>
    <w:basedOn w:val="Normal"/>
    <w:next w:val="Normal"/>
    <w:link w:val="Heading1Char"/>
    <w:uiPriority w:val="9"/>
    <w:qFormat/>
    <w:rsid w:val="00CA49D9"/>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A49D9"/>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A49D9"/>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A49D9"/>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18"/>
    <w:rPr>
      <w:rFonts w:ascii="Tahoma" w:hAnsi="Tahoma" w:cs="Tahoma"/>
      <w:sz w:val="16"/>
      <w:szCs w:val="16"/>
    </w:rPr>
  </w:style>
  <w:style w:type="character" w:customStyle="1" w:styleId="Heading1Char">
    <w:name w:val="Heading 1 Char"/>
    <w:basedOn w:val="DefaultParagraphFont"/>
    <w:link w:val="Heading1"/>
    <w:uiPriority w:val="9"/>
    <w:rsid w:val="00CA49D9"/>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CA49D9"/>
    <w:rPr>
      <w:rFonts w:ascii="Verdana" w:eastAsiaTheme="majorEastAsia" w:hAnsi="Verdana" w:cstheme="majorBidi"/>
      <w:b/>
      <w:bCs/>
      <w:sz w:val="26"/>
      <w:szCs w:val="26"/>
    </w:rPr>
  </w:style>
  <w:style w:type="paragraph" w:styleId="ListParagraph">
    <w:name w:val="List Paragraph"/>
    <w:basedOn w:val="Normal"/>
    <w:uiPriority w:val="34"/>
    <w:qFormat/>
    <w:rsid w:val="00151DD8"/>
    <w:pPr>
      <w:ind w:left="720"/>
      <w:contextualSpacing/>
    </w:pPr>
  </w:style>
  <w:style w:type="character" w:styleId="Hyperlink">
    <w:name w:val="Hyperlink"/>
    <w:basedOn w:val="DefaultParagraphFont"/>
    <w:uiPriority w:val="99"/>
    <w:unhideWhenUsed/>
    <w:rsid w:val="00CC2277"/>
    <w:rPr>
      <w:color w:val="0000FF" w:themeColor="hyperlink"/>
      <w:u w:val="single"/>
    </w:rPr>
  </w:style>
  <w:style w:type="paragraph" w:styleId="FootnoteText">
    <w:name w:val="footnote text"/>
    <w:basedOn w:val="Normal"/>
    <w:link w:val="FootnoteTextChar"/>
    <w:uiPriority w:val="99"/>
    <w:unhideWhenUsed/>
    <w:rsid w:val="00CC2277"/>
    <w:pPr>
      <w:spacing w:after="0" w:line="240" w:lineRule="auto"/>
    </w:pPr>
    <w:rPr>
      <w:rFonts w:ascii="Calibri" w:hAnsi="Calibri"/>
      <w:sz w:val="20"/>
      <w:szCs w:val="20"/>
      <w:lang w:val="en-GB"/>
    </w:rPr>
  </w:style>
  <w:style w:type="character" w:customStyle="1" w:styleId="FootnoteTextChar">
    <w:name w:val="Footnote Text Char"/>
    <w:basedOn w:val="DefaultParagraphFont"/>
    <w:link w:val="FootnoteText"/>
    <w:uiPriority w:val="99"/>
    <w:rsid w:val="00CC2277"/>
    <w:rPr>
      <w:rFonts w:ascii="Calibri" w:hAnsi="Calibri"/>
      <w:sz w:val="20"/>
      <w:szCs w:val="20"/>
      <w:lang w:val="en-GB"/>
    </w:rPr>
  </w:style>
  <w:style w:type="character" w:styleId="FootnoteReference">
    <w:name w:val="footnote reference"/>
    <w:basedOn w:val="DefaultParagraphFont"/>
    <w:uiPriority w:val="99"/>
    <w:unhideWhenUsed/>
    <w:rsid w:val="00CC2277"/>
    <w:rPr>
      <w:vertAlign w:val="superscript"/>
    </w:rPr>
  </w:style>
  <w:style w:type="paragraph" w:styleId="HTMLPreformatted">
    <w:name w:val="HTML Preformatted"/>
    <w:basedOn w:val="Normal"/>
    <w:link w:val="HTMLPreformattedChar"/>
    <w:uiPriority w:val="99"/>
    <w:unhideWhenUsed/>
    <w:rsid w:val="00C14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sid w:val="00C14D75"/>
    <w:rPr>
      <w:rFonts w:ascii="Courier New" w:eastAsia="Times New Roman" w:hAnsi="Courier New" w:cs="Courier New"/>
      <w:sz w:val="20"/>
      <w:szCs w:val="20"/>
      <w:lang w:eastAsia="de-DE"/>
    </w:rPr>
  </w:style>
  <w:style w:type="paragraph" w:customStyle="1" w:styleId="Default">
    <w:name w:val="Default"/>
    <w:rsid w:val="00737775"/>
    <w:pPr>
      <w:autoSpaceDE w:val="0"/>
      <w:autoSpaceDN w:val="0"/>
      <w:adjustRightInd w:val="0"/>
      <w:spacing w:after="0" w:line="240" w:lineRule="auto"/>
    </w:pPr>
    <w:rPr>
      <w:rFonts w:ascii="Calibri" w:eastAsia="Times New Roman" w:hAnsi="Calibri" w:cs="Calibri"/>
      <w:color w:val="000000"/>
      <w:sz w:val="24"/>
      <w:szCs w:val="24"/>
      <w:lang w:val="fi-FI" w:eastAsia="fi-FI"/>
    </w:rPr>
  </w:style>
  <w:style w:type="character" w:customStyle="1" w:styleId="Heading3Char">
    <w:name w:val="Heading 3 Char"/>
    <w:basedOn w:val="DefaultParagraphFont"/>
    <w:link w:val="Heading3"/>
    <w:uiPriority w:val="9"/>
    <w:rsid w:val="00CA49D9"/>
    <w:rPr>
      <w:rFonts w:ascii="Verdana" w:eastAsiaTheme="majorEastAsia" w:hAnsi="Verdana" w:cstheme="majorBidi"/>
      <w:b/>
      <w:bCs/>
    </w:rPr>
  </w:style>
  <w:style w:type="paragraph" w:styleId="Header">
    <w:name w:val="header"/>
    <w:basedOn w:val="Normal"/>
    <w:link w:val="HeaderChar"/>
    <w:uiPriority w:val="99"/>
    <w:unhideWhenUsed/>
    <w:rsid w:val="007A6E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6E3E"/>
  </w:style>
  <w:style w:type="paragraph" w:styleId="Footer">
    <w:name w:val="footer"/>
    <w:basedOn w:val="Normal"/>
    <w:link w:val="FooterChar"/>
    <w:uiPriority w:val="99"/>
    <w:unhideWhenUsed/>
    <w:rsid w:val="007A6E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6E3E"/>
  </w:style>
  <w:style w:type="character" w:customStyle="1" w:styleId="Heading4Char">
    <w:name w:val="Heading 4 Char"/>
    <w:basedOn w:val="DefaultParagraphFont"/>
    <w:link w:val="Heading4"/>
    <w:uiPriority w:val="9"/>
    <w:rsid w:val="00CA49D9"/>
    <w:rPr>
      <w:rFonts w:ascii="Verdana" w:eastAsiaTheme="majorEastAsia" w:hAnsi="Verdana" w:cstheme="majorBidi"/>
      <w:b/>
      <w:bCs/>
      <w:i/>
      <w:iCs/>
    </w:rPr>
  </w:style>
  <w:style w:type="table" w:styleId="TableGrid">
    <w:name w:val="Table Grid"/>
    <w:basedOn w:val="TableNormal"/>
    <w:uiPriority w:val="59"/>
    <w:rsid w:val="002D5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21E64"/>
    <w:rPr>
      <w:color w:val="800080" w:themeColor="followedHyperlink"/>
      <w:u w:val="single"/>
    </w:rPr>
  </w:style>
  <w:style w:type="character" w:styleId="CommentReference">
    <w:name w:val="annotation reference"/>
    <w:basedOn w:val="DefaultParagraphFont"/>
    <w:uiPriority w:val="99"/>
    <w:semiHidden/>
    <w:unhideWhenUsed/>
    <w:rsid w:val="00672A0D"/>
    <w:rPr>
      <w:sz w:val="16"/>
      <w:szCs w:val="16"/>
    </w:rPr>
  </w:style>
  <w:style w:type="paragraph" w:styleId="CommentText">
    <w:name w:val="annotation text"/>
    <w:basedOn w:val="Normal"/>
    <w:link w:val="CommentTextChar"/>
    <w:uiPriority w:val="99"/>
    <w:semiHidden/>
    <w:unhideWhenUsed/>
    <w:rsid w:val="00672A0D"/>
    <w:pPr>
      <w:spacing w:line="240" w:lineRule="auto"/>
    </w:pPr>
    <w:rPr>
      <w:sz w:val="20"/>
      <w:szCs w:val="20"/>
    </w:rPr>
  </w:style>
  <w:style w:type="character" w:customStyle="1" w:styleId="CommentTextChar">
    <w:name w:val="Comment Text Char"/>
    <w:basedOn w:val="DefaultParagraphFont"/>
    <w:link w:val="CommentText"/>
    <w:uiPriority w:val="99"/>
    <w:semiHidden/>
    <w:rsid w:val="00672A0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72A0D"/>
    <w:rPr>
      <w:b/>
      <w:bCs/>
    </w:rPr>
  </w:style>
  <w:style w:type="character" w:customStyle="1" w:styleId="CommentSubjectChar">
    <w:name w:val="Comment Subject Char"/>
    <w:basedOn w:val="CommentTextChar"/>
    <w:link w:val="CommentSubject"/>
    <w:uiPriority w:val="99"/>
    <w:semiHidden/>
    <w:rsid w:val="00672A0D"/>
    <w:rPr>
      <w:rFonts w:ascii="Verdana" w:hAnsi="Verdana"/>
      <w:b/>
      <w:bCs/>
      <w:sz w:val="20"/>
      <w:szCs w:val="20"/>
    </w:rPr>
  </w:style>
  <w:style w:type="character" w:styleId="Strong">
    <w:name w:val="Strong"/>
    <w:basedOn w:val="DefaultParagraphFont"/>
    <w:uiPriority w:val="22"/>
    <w:qFormat/>
    <w:rsid w:val="005C228B"/>
    <w:rPr>
      <w:b/>
      <w:bCs/>
    </w:rPr>
  </w:style>
  <w:style w:type="paragraph" w:styleId="TOCHeading">
    <w:name w:val="TOC Heading"/>
    <w:basedOn w:val="Heading1"/>
    <w:next w:val="Normal"/>
    <w:uiPriority w:val="39"/>
    <w:semiHidden/>
    <w:unhideWhenUsed/>
    <w:qFormat/>
    <w:rsid w:val="00D84C2F"/>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D84C2F"/>
    <w:pPr>
      <w:spacing w:after="100"/>
    </w:pPr>
  </w:style>
  <w:style w:type="paragraph" w:styleId="TOC2">
    <w:name w:val="toc 2"/>
    <w:basedOn w:val="Normal"/>
    <w:next w:val="Normal"/>
    <w:autoRedefine/>
    <w:uiPriority w:val="39"/>
    <w:unhideWhenUsed/>
    <w:rsid w:val="00D84C2F"/>
    <w:pPr>
      <w:spacing w:after="100"/>
      <w:ind w:left="220"/>
    </w:pPr>
  </w:style>
  <w:style w:type="paragraph" w:styleId="TOC3">
    <w:name w:val="toc 3"/>
    <w:basedOn w:val="Normal"/>
    <w:next w:val="Normal"/>
    <w:autoRedefine/>
    <w:uiPriority w:val="39"/>
    <w:unhideWhenUsed/>
    <w:rsid w:val="00D84C2F"/>
    <w:pPr>
      <w:spacing w:after="100"/>
      <w:ind w:left="440"/>
    </w:pPr>
  </w:style>
  <w:style w:type="paragraph" w:styleId="EndnoteText">
    <w:name w:val="endnote text"/>
    <w:basedOn w:val="Normal"/>
    <w:link w:val="EndnoteTextChar"/>
    <w:uiPriority w:val="99"/>
    <w:unhideWhenUsed/>
    <w:rsid w:val="00024CEF"/>
    <w:pPr>
      <w:spacing w:after="0" w:line="240" w:lineRule="auto"/>
    </w:pPr>
    <w:rPr>
      <w:sz w:val="20"/>
      <w:szCs w:val="20"/>
    </w:rPr>
  </w:style>
  <w:style w:type="character" w:customStyle="1" w:styleId="EndnoteTextChar">
    <w:name w:val="Endnote Text Char"/>
    <w:basedOn w:val="DefaultParagraphFont"/>
    <w:link w:val="EndnoteText"/>
    <w:uiPriority w:val="99"/>
    <w:rsid w:val="00024CEF"/>
    <w:rPr>
      <w:rFonts w:ascii="Verdana" w:hAnsi="Verdana"/>
      <w:sz w:val="20"/>
      <w:szCs w:val="20"/>
    </w:rPr>
  </w:style>
  <w:style w:type="character" w:styleId="EndnoteReference">
    <w:name w:val="endnote reference"/>
    <w:basedOn w:val="DefaultParagraphFont"/>
    <w:uiPriority w:val="99"/>
    <w:unhideWhenUsed/>
    <w:rsid w:val="00024CEF"/>
    <w:rPr>
      <w:vertAlign w:val="superscript"/>
    </w:rPr>
  </w:style>
  <w:style w:type="character" w:customStyle="1" w:styleId="link-fake">
    <w:name w:val="link-fake"/>
    <w:basedOn w:val="DefaultParagraphFont"/>
    <w:rsid w:val="008A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2052">
      <w:bodyDiv w:val="1"/>
      <w:marLeft w:val="0"/>
      <w:marRight w:val="0"/>
      <w:marTop w:val="0"/>
      <w:marBottom w:val="0"/>
      <w:divBdr>
        <w:top w:val="none" w:sz="0" w:space="0" w:color="auto"/>
        <w:left w:val="none" w:sz="0" w:space="0" w:color="auto"/>
        <w:bottom w:val="none" w:sz="0" w:space="0" w:color="auto"/>
        <w:right w:val="none" w:sz="0" w:space="0" w:color="auto"/>
      </w:divBdr>
    </w:div>
    <w:div w:id="138378420">
      <w:bodyDiv w:val="1"/>
      <w:marLeft w:val="0"/>
      <w:marRight w:val="0"/>
      <w:marTop w:val="0"/>
      <w:marBottom w:val="0"/>
      <w:divBdr>
        <w:top w:val="none" w:sz="0" w:space="0" w:color="auto"/>
        <w:left w:val="none" w:sz="0" w:space="0" w:color="auto"/>
        <w:bottom w:val="none" w:sz="0" w:space="0" w:color="auto"/>
        <w:right w:val="none" w:sz="0" w:space="0" w:color="auto"/>
      </w:divBdr>
    </w:div>
    <w:div w:id="144392989">
      <w:bodyDiv w:val="1"/>
      <w:marLeft w:val="0"/>
      <w:marRight w:val="0"/>
      <w:marTop w:val="0"/>
      <w:marBottom w:val="0"/>
      <w:divBdr>
        <w:top w:val="none" w:sz="0" w:space="0" w:color="auto"/>
        <w:left w:val="none" w:sz="0" w:space="0" w:color="auto"/>
        <w:bottom w:val="none" w:sz="0" w:space="0" w:color="auto"/>
        <w:right w:val="none" w:sz="0" w:space="0" w:color="auto"/>
      </w:divBdr>
    </w:div>
    <w:div w:id="323552630">
      <w:bodyDiv w:val="1"/>
      <w:marLeft w:val="0"/>
      <w:marRight w:val="0"/>
      <w:marTop w:val="0"/>
      <w:marBottom w:val="0"/>
      <w:divBdr>
        <w:top w:val="none" w:sz="0" w:space="0" w:color="auto"/>
        <w:left w:val="none" w:sz="0" w:space="0" w:color="auto"/>
        <w:bottom w:val="none" w:sz="0" w:space="0" w:color="auto"/>
        <w:right w:val="none" w:sz="0" w:space="0" w:color="auto"/>
      </w:divBdr>
    </w:div>
    <w:div w:id="324212063">
      <w:bodyDiv w:val="1"/>
      <w:marLeft w:val="0"/>
      <w:marRight w:val="0"/>
      <w:marTop w:val="0"/>
      <w:marBottom w:val="0"/>
      <w:divBdr>
        <w:top w:val="none" w:sz="0" w:space="0" w:color="auto"/>
        <w:left w:val="none" w:sz="0" w:space="0" w:color="auto"/>
        <w:bottom w:val="none" w:sz="0" w:space="0" w:color="auto"/>
        <w:right w:val="none" w:sz="0" w:space="0" w:color="auto"/>
      </w:divBdr>
      <w:divsChild>
        <w:div w:id="118303285">
          <w:marLeft w:val="0"/>
          <w:marRight w:val="0"/>
          <w:marTop w:val="0"/>
          <w:marBottom w:val="0"/>
          <w:divBdr>
            <w:top w:val="none" w:sz="0" w:space="0" w:color="auto"/>
            <w:left w:val="none" w:sz="0" w:space="0" w:color="auto"/>
            <w:bottom w:val="none" w:sz="0" w:space="0" w:color="auto"/>
            <w:right w:val="none" w:sz="0" w:space="0" w:color="auto"/>
          </w:divBdr>
        </w:div>
        <w:div w:id="1471626568">
          <w:marLeft w:val="0"/>
          <w:marRight w:val="0"/>
          <w:marTop w:val="0"/>
          <w:marBottom w:val="0"/>
          <w:divBdr>
            <w:top w:val="none" w:sz="0" w:space="0" w:color="auto"/>
            <w:left w:val="none" w:sz="0" w:space="0" w:color="auto"/>
            <w:bottom w:val="none" w:sz="0" w:space="0" w:color="auto"/>
            <w:right w:val="none" w:sz="0" w:space="0" w:color="auto"/>
          </w:divBdr>
        </w:div>
        <w:div w:id="390620460">
          <w:marLeft w:val="0"/>
          <w:marRight w:val="0"/>
          <w:marTop w:val="0"/>
          <w:marBottom w:val="0"/>
          <w:divBdr>
            <w:top w:val="none" w:sz="0" w:space="0" w:color="auto"/>
            <w:left w:val="none" w:sz="0" w:space="0" w:color="auto"/>
            <w:bottom w:val="none" w:sz="0" w:space="0" w:color="auto"/>
            <w:right w:val="none" w:sz="0" w:space="0" w:color="auto"/>
          </w:divBdr>
        </w:div>
        <w:div w:id="1654219822">
          <w:marLeft w:val="0"/>
          <w:marRight w:val="0"/>
          <w:marTop w:val="0"/>
          <w:marBottom w:val="0"/>
          <w:divBdr>
            <w:top w:val="none" w:sz="0" w:space="0" w:color="auto"/>
            <w:left w:val="none" w:sz="0" w:space="0" w:color="auto"/>
            <w:bottom w:val="none" w:sz="0" w:space="0" w:color="auto"/>
            <w:right w:val="none" w:sz="0" w:space="0" w:color="auto"/>
          </w:divBdr>
        </w:div>
        <w:div w:id="1456828538">
          <w:marLeft w:val="0"/>
          <w:marRight w:val="0"/>
          <w:marTop w:val="0"/>
          <w:marBottom w:val="0"/>
          <w:divBdr>
            <w:top w:val="none" w:sz="0" w:space="0" w:color="auto"/>
            <w:left w:val="none" w:sz="0" w:space="0" w:color="auto"/>
            <w:bottom w:val="none" w:sz="0" w:space="0" w:color="auto"/>
            <w:right w:val="none" w:sz="0" w:space="0" w:color="auto"/>
          </w:divBdr>
        </w:div>
      </w:divsChild>
    </w:div>
    <w:div w:id="370346809">
      <w:bodyDiv w:val="1"/>
      <w:marLeft w:val="0"/>
      <w:marRight w:val="0"/>
      <w:marTop w:val="0"/>
      <w:marBottom w:val="0"/>
      <w:divBdr>
        <w:top w:val="none" w:sz="0" w:space="0" w:color="auto"/>
        <w:left w:val="none" w:sz="0" w:space="0" w:color="auto"/>
        <w:bottom w:val="none" w:sz="0" w:space="0" w:color="auto"/>
        <w:right w:val="none" w:sz="0" w:space="0" w:color="auto"/>
      </w:divBdr>
    </w:div>
    <w:div w:id="563488587">
      <w:bodyDiv w:val="1"/>
      <w:marLeft w:val="0"/>
      <w:marRight w:val="0"/>
      <w:marTop w:val="0"/>
      <w:marBottom w:val="0"/>
      <w:divBdr>
        <w:top w:val="none" w:sz="0" w:space="0" w:color="auto"/>
        <w:left w:val="none" w:sz="0" w:space="0" w:color="auto"/>
        <w:bottom w:val="none" w:sz="0" w:space="0" w:color="auto"/>
        <w:right w:val="none" w:sz="0" w:space="0" w:color="auto"/>
      </w:divBdr>
    </w:div>
    <w:div w:id="692265693">
      <w:bodyDiv w:val="1"/>
      <w:marLeft w:val="0"/>
      <w:marRight w:val="0"/>
      <w:marTop w:val="0"/>
      <w:marBottom w:val="0"/>
      <w:divBdr>
        <w:top w:val="none" w:sz="0" w:space="0" w:color="auto"/>
        <w:left w:val="none" w:sz="0" w:space="0" w:color="auto"/>
        <w:bottom w:val="none" w:sz="0" w:space="0" w:color="auto"/>
        <w:right w:val="none" w:sz="0" w:space="0" w:color="auto"/>
      </w:divBdr>
    </w:div>
    <w:div w:id="795561958">
      <w:bodyDiv w:val="1"/>
      <w:marLeft w:val="0"/>
      <w:marRight w:val="0"/>
      <w:marTop w:val="0"/>
      <w:marBottom w:val="0"/>
      <w:divBdr>
        <w:top w:val="none" w:sz="0" w:space="0" w:color="auto"/>
        <w:left w:val="none" w:sz="0" w:space="0" w:color="auto"/>
        <w:bottom w:val="none" w:sz="0" w:space="0" w:color="auto"/>
        <w:right w:val="none" w:sz="0" w:space="0" w:color="auto"/>
      </w:divBdr>
    </w:div>
    <w:div w:id="890072978">
      <w:bodyDiv w:val="1"/>
      <w:marLeft w:val="0"/>
      <w:marRight w:val="0"/>
      <w:marTop w:val="0"/>
      <w:marBottom w:val="0"/>
      <w:divBdr>
        <w:top w:val="none" w:sz="0" w:space="0" w:color="auto"/>
        <w:left w:val="none" w:sz="0" w:space="0" w:color="auto"/>
        <w:bottom w:val="none" w:sz="0" w:space="0" w:color="auto"/>
        <w:right w:val="none" w:sz="0" w:space="0" w:color="auto"/>
      </w:divBdr>
    </w:div>
    <w:div w:id="951401063">
      <w:bodyDiv w:val="1"/>
      <w:marLeft w:val="0"/>
      <w:marRight w:val="0"/>
      <w:marTop w:val="0"/>
      <w:marBottom w:val="0"/>
      <w:divBdr>
        <w:top w:val="none" w:sz="0" w:space="0" w:color="auto"/>
        <w:left w:val="none" w:sz="0" w:space="0" w:color="auto"/>
        <w:bottom w:val="none" w:sz="0" w:space="0" w:color="auto"/>
        <w:right w:val="none" w:sz="0" w:space="0" w:color="auto"/>
      </w:divBdr>
    </w:div>
    <w:div w:id="955939814">
      <w:bodyDiv w:val="1"/>
      <w:marLeft w:val="0"/>
      <w:marRight w:val="0"/>
      <w:marTop w:val="0"/>
      <w:marBottom w:val="0"/>
      <w:divBdr>
        <w:top w:val="none" w:sz="0" w:space="0" w:color="auto"/>
        <w:left w:val="none" w:sz="0" w:space="0" w:color="auto"/>
        <w:bottom w:val="none" w:sz="0" w:space="0" w:color="auto"/>
        <w:right w:val="none" w:sz="0" w:space="0" w:color="auto"/>
      </w:divBdr>
      <w:divsChild>
        <w:div w:id="714700409">
          <w:marLeft w:val="0"/>
          <w:marRight w:val="0"/>
          <w:marTop w:val="0"/>
          <w:marBottom w:val="0"/>
          <w:divBdr>
            <w:top w:val="none" w:sz="0" w:space="0" w:color="auto"/>
            <w:left w:val="none" w:sz="0" w:space="0" w:color="auto"/>
            <w:bottom w:val="none" w:sz="0" w:space="0" w:color="auto"/>
            <w:right w:val="none" w:sz="0" w:space="0" w:color="auto"/>
          </w:divBdr>
        </w:div>
        <w:div w:id="487941001">
          <w:marLeft w:val="0"/>
          <w:marRight w:val="0"/>
          <w:marTop w:val="0"/>
          <w:marBottom w:val="0"/>
          <w:divBdr>
            <w:top w:val="none" w:sz="0" w:space="0" w:color="auto"/>
            <w:left w:val="none" w:sz="0" w:space="0" w:color="auto"/>
            <w:bottom w:val="none" w:sz="0" w:space="0" w:color="auto"/>
            <w:right w:val="none" w:sz="0" w:space="0" w:color="auto"/>
          </w:divBdr>
        </w:div>
        <w:div w:id="800656940">
          <w:marLeft w:val="0"/>
          <w:marRight w:val="0"/>
          <w:marTop w:val="0"/>
          <w:marBottom w:val="0"/>
          <w:divBdr>
            <w:top w:val="none" w:sz="0" w:space="0" w:color="auto"/>
            <w:left w:val="none" w:sz="0" w:space="0" w:color="auto"/>
            <w:bottom w:val="none" w:sz="0" w:space="0" w:color="auto"/>
            <w:right w:val="none" w:sz="0" w:space="0" w:color="auto"/>
          </w:divBdr>
        </w:div>
      </w:divsChild>
    </w:div>
    <w:div w:id="1094202511">
      <w:bodyDiv w:val="1"/>
      <w:marLeft w:val="0"/>
      <w:marRight w:val="0"/>
      <w:marTop w:val="0"/>
      <w:marBottom w:val="0"/>
      <w:divBdr>
        <w:top w:val="none" w:sz="0" w:space="0" w:color="auto"/>
        <w:left w:val="none" w:sz="0" w:space="0" w:color="auto"/>
        <w:bottom w:val="none" w:sz="0" w:space="0" w:color="auto"/>
        <w:right w:val="none" w:sz="0" w:space="0" w:color="auto"/>
      </w:divBdr>
    </w:div>
    <w:div w:id="1122697237">
      <w:bodyDiv w:val="1"/>
      <w:marLeft w:val="0"/>
      <w:marRight w:val="0"/>
      <w:marTop w:val="0"/>
      <w:marBottom w:val="0"/>
      <w:divBdr>
        <w:top w:val="none" w:sz="0" w:space="0" w:color="auto"/>
        <w:left w:val="none" w:sz="0" w:space="0" w:color="auto"/>
        <w:bottom w:val="none" w:sz="0" w:space="0" w:color="auto"/>
        <w:right w:val="none" w:sz="0" w:space="0" w:color="auto"/>
      </w:divBdr>
    </w:div>
    <w:div w:id="1786264677">
      <w:bodyDiv w:val="1"/>
      <w:marLeft w:val="0"/>
      <w:marRight w:val="0"/>
      <w:marTop w:val="0"/>
      <w:marBottom w:val="0"/>
      <w:divBdr>
        <w:top w:val="none" w:sz="0" w:space="0" w:color="auto"/>
        <w:left w:val="none" w:sz="0" w:space="0" w:color="auto"/>
        <w:bottom w:val="none" w:sz="0" w:space="0" w:color="auto"/>
        <w:right w:val="none" w:sz="0" w:space="0" w:color="auto"/>
      </w:divBdr>
    </w:div>
    <w:div w:id="1886328296">
      <w:bodyDiv w:val="1"/>
      <w:marLeft w:val="0"/>
      <w:marRight w:val="0"/>
      <w:marTop w:val="0"/>
      <w:marBottom w:val="0"/>
      <w:divBdr>
        <w:top w:val="none" w:sz="0" w:space="0" w:color="auto"/>
        <w:left w:val="none" w:sz="0" w:space="0" w:color="auto"/>
        <w:bottom w:val="none" w:sz="0" w:space="0" w:color="auto"/>
        <w:right w:val="none" w:sz="0" w:space="0" w:color="auto"/>
      </w:divBdr>
    </w:div>
    <w:div w:id="2086099110">
      <w:bodyDiv w:val="1"/>
      <w:marLeft w:val="0"/>
      <w:marRight w:val="0"/>
      <w:marTop w:val="0"/>
      <w:marBottom w:val="0"/>
      <w:divBdr>
        <w:top w:val="none" w:sz="0" w:space="0" w:color="auto"/>
        <w:left w:val="none" w:sz="0" w:space="0" w:color="auto"/>
        <w:bottom w:val="none" w:sz="0" w:space="0" w:color="auto"/>
        <w:right w:val="none" w:sz="0" w:space="0" w:color="auto"/>
      </w:divBdr>
    </w:div>
    <w:div w:id="2095204575">
      <w:bodyDiv w:val="1"/>
      <w:marLeft w:val="0"/>
      <w:marRight w:val="0"/>
      <w:marTop w:val="0"/>
      <w:marBottom w:val="0"/>
      <w:divBdr>
        <w:top w:val="none" w:sz="0" w:space="0" w:color="auto"/>
        <w:left w:val="none" w:sz="0" w:space="0" w:color="auto"/>
        <w:bottom w:val="none" w:sz="0" w:space="0" w:color="auto"/>
        <w:right w:val="none" w:sz="0" w:space="0" w:color="auto"/>
      </w:divBdr>
      <w:divsChild>
        <w:div w:id="1025449364">
          <w:marLeft w:val="0"/>
          <w:marRight w:val="0"/>
          <w:marTop w:val="0"/>
          <w:marBottom w:val="0"/>
          <w:divBdr>
            <w:top w:val="none" w:sz="0" w:space="0" w:color="auto"/>
            <w:left w:val="none" w:sz="0" w:space="0" w:color="auto"/>
            <w:bottom w:val="none" w:sz="0" w:space="0" w:color="auto"/>
            <w:right w:val="none" w:sz="0" w:space="0" w:color="auto"/>
          </w:divBdr>
        </w:div>
        <w:div w:id="1349602859">
          <w:marLeft w:val="0"/>
          <w:marRight w:val="0"/>
          <w:marTop w:val="0"/>
          <w:marBottom w:val="0"/>
          <w:divBdr>
            <w:top w:val="none" w:sz="0" w:space="0" w:color="auto"/>
            <w:left w:val="none" w:sz="0" w:space="0" w:color="auto"/>
            <w:bottom w:val="none" w:sz="0" w:space="0" w:color="auto"/>
            <w:right w:val="none" w:sz="0" w:space="0" w:color="auto"/>
          </w:divBdr>
        </w:div>
        <w:div w:id="1620451900">
          <w:marLeft w:val="0"/>
          <w:marRight w:val="0"/>
          <w:marTop w:val="0"/>
          <w:marBottom w:val="0"/>
          <w:divBdr>
            <w:top w:val="none" w:sz="0" w:space="0" w:color="auto"/>
            <w:left w:val="none" w:sz="0" w:space="0" w:color="auto"/>
            <w:bottom w:val="none" w:sz="0" w:space="0" w:color="auto"/>
            <w:right w:val="none" w:sz="0" w:space="0" w:color="auto"/>
          </w:divBdr>
        </w:div>
        <w:div w:id="2028866706">
          <w:marLeft w:val="0"/>
          <w:marRight w:val="0"/>
          <w:marTop w:val="0"/>
          <w:marBottom w:val="0"/>
          <w:divBdr>
            <w:top w:val="none" w:sz="0" w:space="0" w:color="auto"/>
            <w:left w:val="none" w:sz="0" w:space="0" w:color="auto"/>
            <w:bottom w:val="none" w:sz="0" w:space="0" w:color="auto"/>
            <w:right w:val="none" w:sz="0" w:space="0" w:color="auto"/>
          </w:divBdr>
        </w:div>
        <w:div w:id="1314405697">
          <w:marLeft w:val="0"/>
          <w:marRight w:val="0"/>
          <w:marTop w:val="0"/>
          <w:marBottom w:val="0"/>
          <w:divBdr>
            <w:top w:val="none" w:sz="0" w:space="0" w:color="auto"/>
            <w:left w:val="none" w:sz="0" w:space="0" w:color="auto"/>
            <w:bottom w:val="none" w:sz="0" w:space="0" w:color="auto"/>
            <w:right w:val="none" w:sz="0" w:space="0" w:color="auto"/>
          </w:divBdr>
        </w:div>
        <w:div w:id="2143762871">
          <w:marLeft w:val="0"/>
          <w:marRight w:val="0"/>
          <w:marTop w:val="0"/>
          <w:marBottom w:val="0"/>
          <w:divBdr>
            <w:top w:val="none" w:sz="0" w:space="0" w:color="auto"/>
            <w:left w:val="none" w:sz="0" w:space="0" w:color="auto"/>
            <w:bottom w:val="none" w:sz="0" w:space="0" w:color="auto"/>
            <w:right w:val="none" w:sz="0" w:space="0" w:color="auto"/>
          </w:divBdr>
        </w:div>
        <w:div w:id="1277567773">
          <w:marLeft w:val="0"/>
          <w:marRight w:val="0"/>
          <w:marTop w:val="0"/>
          <w:marBottom w:val="0"/>
          <w:divBdr>
            <w:top w:val="none" w:sz="0" w:space="0" w:color="auto"/>
            <w:left w:val="none" w:sz="0" w:space="0" w:color="auto"/>
            <w:bottom w:val="none" w:sz="0" w:space="0" w:color="auto"/>
            <w:right w:val="none" w:sz="0" w:space="0" w:color="auto"/>
          </w:divBdr>
        </w:div>
        <w:div w:id="851188885">
          <w:marLeft w:val="0"/>
          <w:marRight w:val="0"/>
          <w:marTop w:val="0"/>
          <w:marBottom w:val="0"/>
          <w:divBdr>
            <w:top w:val="none" w:sz="0" w:space="0" w:color="auto"/>
            <w:left w:val="none" w:sz="0" w:space="0" w:color="auto"/>
            <w:bottom w:val="none" w:sz="0" w:space="0" w:color="auto"/>
            <w:right w:val="none" w:sz="0" w:space="0" w:color="auto"/>
          </w:divBdr>
        </w:div>
        <w:div w:id="289633198">
          <w:marLeft w:val="0"/>
          <w:marRight w:val="0"/>
          <w:marTop w:val="0"/>
          <w:marBottom w:val="0"/>
          <w:divBdr>
            <w:top w:val="none" w:sz="0" w:space="0" w:color="auto"/>
            <w:left w:val="none" w:sz="0" w:space="0" w:color="auto"/>
            <w:bottom w:val="none" w:sz="0" w:space="0" w:color="auto"/>
            <w:right w:val="none" w:sz="0" w:space="0" w:color="auto"/>
          </w:divBdr>
        </w:div>
        <w:div w:id="249238047">
          <w:marLeft w:val="0"/>
          <w:marRight w:val="0"/>
          <w:marTop w:val="0"/>
          <w:marBottom w:val="0"/>
          <w:divBdr>
            <w:top w:val="none" w:sz="0" w:space="0" w:color="auto"/>
            <w:left w:val="none" w:sz="0" w:space="0" w:color="auto"/>
            <w:bottom w:val="none" w:sz="0" w:space="0" w:color="auto"/>
            <w:right w:val="none" w:sz="0" w:space="0" w:color="auto"/>
          </w:divBdr>
        </w:div>
        <w:div w:id="728068827">
          <w:marLeft w:val="0"/>
          <w:marRight w:val="0"/>
          <w:marTop w:val="0"/>
          <w:marBottom w:val="0"/>
          <w:divBdr>
            <w:top w:val="none" w:sz="0" w:space="0" w:color="auto"/>
            <w:left w:val="none" w:sz="0" w:space="0" w:color="auto"/>
            <w:bottom w:val="none" w:sz="0" w:space="0" w:color="auto"/>
            <w:right w:val="none" w:sz="0" w:space="0" w:color="auto"/>
          </w:divBdr>
        </w:div>
        <w:div w:id="1450392472">
          <w:marLeft w:val="0"/>
          <w:marRight w:val="0"/>
          <w:marTop w:val="0"/>
          <w:marBottom w:val="0"/>
          <w:divBdr>
            <w:top w:val="none" w:sz="0" w:space="0" w:color="auto"/>
            <w:left w:val="none" w:sz="0" w:space="0" w:color="auto"/>
            <w:bottom w:val="none" w:sz="0" w:space="0" w:color="auto"/>
            <w:right w:val="none" w:sz="0" w:space="0" w:color="auto"/>
          </w:divBdr>
        </w:div>
        <w:div w:id="1047872436">
          <w:marLeft w:val="0"/>
          <w:marRight w:val="0"/>
          <w:marTop w:val="0"/>
          <w:marBottom w:val="0"/>
          <w:divBdr>
            <w:top w:val="none" w:sz="0" w:space="0" w:color="auto"/>
            <w:left w:val="none" w:sz="0" w:space="0" w:color="auto"/>
            <w:bottom w:val="none" w:sz="0" w:space="0" w:color="auto"/>
            <w:right w:val="none" w:sz="0" w:space="0" w:color="auto"/>
          </w:divBdr>
        </w:div>
      </w:divsChild>
    </w:div>
    <w:div w:id="2125884387">
      <w:bodyDiv w:val="1"/>
      <w:marLeft w:val="0"/>
      <w:marRight w:val="0"/>
      <w:marTop w:val="0"/>
      <w:marBottom w:val="0"/>
      <w:divBdr>
        <w:top w:val="none" w:sz="0" w:space="0" w:color="auto"/>
        <w:left w:val="none" w:sz="0" w:space="0" w:color="auto"/>
        <w:bottom w:val="none" w:sz="0" w:space="0" w:color="auto"/>
        <w:right w:val="none" w:sz="0" w:space="0" w:color="auto"/>
      </w:divBdr>
      <w:divsChild>
        <w:div w:id="858931084">
          <w:marLeft w:val="806"/>
          <w:marRight w:val="0"/>
          <w:marTop w:val="154"/>
          <w:marBottom w:val="0"/>
          <w:divBdr>
            <w:top w:val="none" w:sz="0" w:space="0" w:color="auto"/>
            <w:left w:val="none" w:sz="0" w:space="0" w:color="auto"/>
            <w:bottom w:val="none" w:sz="0" w:space="0" w:color="auto"/>
            <w:right w:val="none" w:sz="0" w:space="0" w:color="auto"/>
          </w:divBdr>
        </w:div>
        <w:div w:id="1755585196">
          <w:marLeft w:val="806"/>
          <w:marRight w:val="0"/>
          <w:marTop w:val="154"/>
          <w:marBottom w:val="0"/>
          <w:divBdr>
            <w:top w:val="none" w:sz="0" w:space="0" w:color="auto"/>
            <w:left w:val="none" w:sz="0" w:space="0" w:color="auto"/>
            <w:bottom w:val="none" w:sz="0" w:space="0" w:color="auto"/>
            <w:right w:val="none" w:sz="0" w:space="0" w:color="auto"/>
          </w:divBdr>
        </w:div>
        <w:div w:id="424108886">
          <w:marLeft w:val="806"/>
          <w:marRight w:val="0"/>
          <w:marTop w:val="154"/>
          <w:marBottom w:val="0"/>
          <w:divBdr>
            <w:top w:val="none" w:sz="0" w:space="0" w:color="auto"/>
            <w:left w:val="none" w:sz="0" w:space="0" w:color="auto"/>
            <w:bottom w:val="none" w:sz="0" w:space="0" w:color="auto"/>
            <w:right w:val="none" w:sz="0" w:space="0" w:color="auto"/>
          </w:divBdr>
        </w:div>
        <w:div w:id="1787655179">
          <w:marLeft w:val="806"/>
          <w:marRight w:val="0"/>
          <w:marTop w:val="154"/>
          <w:marBottom w:val="0"/>
          <w:divBdr>
            <w:top w:val="none" w:sz="0" w:space="0" w:color="auto"/>
            <w:left w:val="none" w:sz="0" w:space="0" w:color="auto"/>
            <w:bottom w:val="none" w:sz="0" w:space="0" w:color="auto"/>
            <w:right w:val="none" w:sz="0" w:space="0" w:color="auto"/>
          </w:divBdr>
        </w:div>
        <w:div w:id="438066611">
          <w:marLeft w:val="806"/>
          <w:marRight w:val="0"/>
          <w:marTop w:val="154"/>
          <w:marBottom w:val="0"/>
          <w:divBdr>
            <w:top w:val="none" w:sz="0" w:space="0" w:color="auto"/>
            <w:left w:val="none" w:sz="0" w:space="0" w:color="auto"/>
            <w:bottom w:val="none" w:sz="0" w:space="0" w:color="auto"/>
            <w:right w:val="none" w:sz="0" w:space="0" w:color="auto"/>
          </w:divBdr>
        </w:div>
        <w:div w:id="369569678">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e.wikipedia.org/w/index.php?title=Tax_Justice_Network&amp;stable=0&amp;redirect=no" TargetMode="External"/><Relationship Id="rId21" Type="http://schemas.openxmlformats.org/officeDocument/2006/relationships/hyperlink" Target="https://de.wikipedia.org/w/index.php?title=Tax_Justice_Network&amp;stable=0&amp;redirect=no" TargetMode="External"/><Relationship Id="rId22" Type="http://schemas.openxmlformats.org/officeDocument/2006/relationships/hyperlink" Target="https://de.wikipedia.org/w/index.php?title=Tax_Justice_Network&amp;stable=0&amp;redirect=no" TargetMode="External"/><Relationship Id="rId23" Type="http://schemas.openxmlformats.org/officeDocument/2006/relationships/hyperlink" Target="https://de.wikipedia.org/w/index.php?title=Tax_Justice_Network&amp;stable=0&amp;redirect=no" TargetMode="External"/><Relationship Id="rId24" Type="http://schemas.openxmlformats.org/officeDocument/2006/relationships/hyperlink" Target="https://de.wikipedia.org/w/index.php?title=Tax_Justice_Network&amp;stable=0&amp;redirect=no" TargetMode="External"/><Relationship Id="rId25" Type="http://schemas.openxmlformats.org/officeDocument/2006/relationships/hyperlink" Target="http://www.taxjustice.net" TargetMode="External"/><Relationship Id="rId26" Type="http://schemas.openxmlformats.org/officeDocument/2006/relationships/hyperlink" Target="http://www.taxjustice.net/taxcast/" TargetMode="External"/><Relationship Id="rId27" Type="http://schemas.openxmlformats.org/officeDocument/2006/relationships/hyperlink" Target="http://www.financialsecrecyindex.com" TargetMode="External"/><Relationship Id="rId28" Type="http://schemas.openxmlformats.org/officeDocument/2006/relationships/hyperlink" Target="http://www.taxjustice.net/reports-2/" TargetMode="External"/><Relationship Id="rId29" Type="http://schemas.openxmlformats.org/officeDocument/2006/relationships/hyperlink" Target="http://treasureislands.org/praise-for-the-boo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uncounted.org" TargetMode="Externa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www.taxjustice.net/topics/race-to-the-bottom/tax-wars/" TargetMode="External"/><Relationship Id="rId11" Type="http://schemas.openxmlformats.org/officeDocument/2006/relationships/hyperlink" Target="http://www.taxjustice.net/topics/race-to-the-bottom/tax-wars/" TargetMode="External"/><Relationship Id="rId12" Type="http://schemas.openxmlformats.org/officeDocument/2006/relationships/hyperlink" Target="http://www.globaltaxjustice.org/" TargetMode="External"/><Relationship Id="rId13" Type="http://schemas.openxmlformats.org/officeDocument/2006/relationships/hyperlink" Target="http://www.taxjustice.net" TargetMode="External"/><Relationship Id="rId14" Type="http://schemas.openxmlformats.org/officeDocument/2006/relationships/hyperlink" Target="http://www.oecd.org/ctp/transfer-pricing/beps-action-13-country-by-country-reporting-implementation-package.pdf" TargetMode="External"/><Relationship Id="rId15" Type="http://schemas.openxmlformats.org/officeDocument/2006/relationships/hyperlink" Target="https://de.wikipedia.org/w/index.php?title=Tax_Justice_Network&amp;stable=0&amp;redirect=no" TargetMode="External"/><Relationship Id="rId16" Type="http://schemas.openxmlformats.org/officeDocument/2006/relationships/hyperlink" Target="https://de.wikipedia.org/w/index.php?title=Tax_Justice_Network&amp;stable=0&amp;redirect=no" TargetMode="External"/><Relationship Id="rId17" Type="http://schemas.openxmlformats.org/officeDocument/2006/relationships/hyperlink" Target="https://de.wikipedia.org/w/index.php?title=Tax_Justice_Network&amp;stable=0&amp;redirect=no" TargetMode="External"/><Relationship Id="rId18" Type="http://schemas.openxmlformats.org/officeDocument/2006/relationships/hyperlink" Target="https://de.wikipedia.org/w/index.php?title=Tax_Justice_Network&amp;stable=0&amp;redirect=no" TargetMode="External"/><Relationship Id="rId19" Type="http://schemas.openxmlformats.org/officeDocument/2006/relationships/hyperlink" Target="https://de.wikipedia.org/w/index.php?title=Tax_Justice_Network&amp;stable=0&amp;redirect=no" TargetMode="External"/></Relationships>
</file>

<file path=word/_rels/endnotes.xml.rels><?xml version="1.0" encoding="UTF-8" standalone="yes"?>
<Relationships xmlns="http://schemas.openxmlformats.org/package/2006/relationships"><Relationship Id="rId9" Type="http://schemas.openxmlformats.org/officeDocument/2006/relationships/hyperlink" Target="http://www.g20.utoronto.ca/2016/160227-finance-en.html" TargetMode="External"/><Relationship Id="rId20" Type="http://schemas.openxmlformats.org/officeDocument/2006/relationships/hyperlink" Target="http://www.lemonde.fr/evasion-fiscale/article/2015/11/10/des-entreprises-americaines-accusees-d-evasion-fiscale-en-france_4806383_4862750.html" TargetMode="External"/><Relationship Id="rId21" Type="http://schemas.openxmlformats.org/officeDocument/2006/relationships/hyperlink" Target="http://www.spiegel.de/wirtschaft/service/steueroasen-tax-justice-network-warnt-vor-usa-a-1060189.html" TargetMode="External"/><Relationship Id="rId22" Type="http://schemas.openxmlformats.org/officeDocument/2006/relationships/hyperlink" Target="http://www.spiegel.de/wirtschaft/soziales/studie-zu-steuerflucht-reiche-bunkern-21-bis-32-billionen-im-ausland-a-845747.html" TargetMode="External"/><Relationship Id="rId23" Type="http://schemas.openxmlformats.org/officeDocument/2006/relationships/hyperlink" Target="http://www.hsgac.senate.gov/download/2009-11-05-blum-testimony-revised" TargetMode="External"/><Relationship Id="rId24" Type="http://schemas.openxmlformats.org/officeDocument/2006/relationships/hyperlink" Target="http://taxjustice.blogspot.de/2012/11/happy-birthday-tax-justice-network.html" TargetMode="External"/><Relationship Id="rId25" Type="http://schemas.openxmlformats.org/officeDocument/2006/relationships/hyperlink" Target="http://www.taxjustice.net/5828-2/" TargetMode="External"/><Relationship Id="rId26" Type="http://schemas.openxmlformats.org/officeDocument/2006/relationships/hyperlink" Target="http://www.taxjustice.net/about/who-we-are/accounts/" TargetMode="External"/><Relationship Id="rId27" Type="http://schemas.openxmlformats.org/officeDocument/2006/relationships/hyperlink" Target="http://www.taxjustice.net/2016/03/11/our-corruption-and-tax-havens-workshop-new-programme/" TargetMode="External"/><Relationship Id="rId10" Type="http://schemas.openxmlformats.org/officeDocument/2006/relationships/hyperlink" Target="http://www.taxjustice.net/wp-content/uploads/2013/04/BMG-on-BEPS-150505.pdf" TargetMode="External"/><Relationship Id="rId11" Type="http://schemas.openxmlformats.org/officeDocument/2006/relationships/hyperlink" Target="http://www.economist.com/news/finance-and-economics/21677647-index-financial-secrecy-highlights-american-hypocrisy-mega-haven" TargetMode="External"/><Relationship Id="rId12" Type="http://schemas.openxmlformats.org/officeDocument/2006/relationships/hyperlink" Target="http://www.taxjustice.net/2015/06/08/tjn-in-the-economist-on-the-precious-corporate-income-tax/" TargetMode="External"/><Relationship Id="rId13" Type="http://schemas.openxmlformats.org/officeDocument/2006/relationships/hyperlink" Target="http://www.economist.com/news/international/21693219-having-launched-and-led-battle-against-offshore-tax-evasion-america-now-part" TargetMode="External"/><Relationship Id="rId14" Type="http://schemas.openxmlformats.org/officeDocument/2006/relationships/hyperlink" Target="http://taxjustice.blogspot.de/2013/02/new-tax-haven-cover-story-in-economist.html" TargetMode="External"/><Relationship Id="rId15" Type="http://schemas.openxmlformats.org/officeDocument/2006/relationships/hyperlink" Target="http://www.ft.com/intl/cms/s/0/872d8f84-c2ba-11e5-b3b1-7b2481276e45.html" TargetMode="External"/><Relationship Id="rId16" Type="http://schemas.openxmlformats.org/officeDocument/2006/relationships/hyperlink" Target="http://www.ft.com/cms/s/0/5bbc1c6c-9cf9-11e5-b45d-4812f209f861.html" TargetMode="External"/><Relationship Id="rId17" Type="http://schemas.openxmlformats.org/officeDocument/2006/relationships/hyperlink" Target="http://www.ft.com/cms/s/0/b0e15eda-8248-11e5-8095-ed1a37d1e096.html" TargetMode="External"/><Relationship Id="rId18" Type="http://schemas.openxmlformats.org/officeDocument/2006/relationships/hyperlink" Target="http://www.ft.com/cms/s/0/d424f3a0-c831-11e5-be0b-b7ece4e953a0.html" TargetMode="External"/><Relationship Id="rId19" Type="http://schemas.openxmlformats.org/officeDocument/2006/relationships/hyperlink" Target="http://www.lemonde.fr/evasion-fiscale/article/2015/11/02/evasion-fiscale-le-palmares-des-pays-les-plus-opaques_4801671_4862750.html" TargetMode="External"/><Relationship Id="rId1" Type="http://schemas.openxmlformats.org/officeDocument/2006/relationships/hyperlink" Target="http://www.taxjustice.net/reports-2/" TargetMode="External"/><Relationship Id="rId2" Type="http://schemas.openxmlformats.org/officeDocument/2006/relationships/hyperlink" Target="http://www.taxjustice.net" TargetMode="External"/><Relationship Id="rId3" Type="http://schemas.openxmlformats.org/officeDocument/2006/relationships/hyperlink" Target="http://www.financeuncovered.org" TargetMode="External"/><Relationship Id="rId4" Type="http://schemas.openxmlformats.org/officeDocument/2006/relationships/hyperlink" Target="http://www.taxjustice.net/about/who-we-are/goals/" TargetMode="External"/><Relationship Id="rId5" Type="http://schemas.openxmlformats.org/officeDocument/2006/relationships/hyperlink" Target="http://www.fairtaxmark.net/who-we-are/" TargetMode="External"/><Relationship Id="rId6" Type="http://schemas.openxmlformats.org/officeDocument/2006/relationships/hyperlink" Target="http://www2.warwick.ac.uk/fac/soc/pais/research/researchcentres/csgr/green/newsandevents/houseoflords/activating_networks_on_taxation_issue_entrepreneurs_and_policy_catalyzation_seabrooke_and_wigan_2014.pdf" TargetMode="External"/><Relationship Id="rId7" Type="http://schemas.openxmlformats.org/officeDocument/2006/relationships/hyperlink" Target="http://www.taxjustice.net/wp-content/uploads/2013/04/TJN-Spencer-Sept-2007-Rome-experts.pdf" TargetMode="External"/><Relationship Id="rId8" Type="http://schemas.openxmlformats.org/officeDocument/2006/relationships/hyperlink" Target="http://www.oecd.org/tax/transparency/automaticexchangeofinform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FA27-FD20-0B44-9316-B1197FD5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1410</Words>
  <Characters>7251</Characters>
  <Application>Microsoft Macintosh Word</Application>
  <DocSecurity>0</DocSecurity>
  <Lines>129</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Meinzer</dc:creator>
  <cp:lastModifiedBy>Nicholas Shaxson</cp:lastModifiedBy>
  <cp:revision>6</cp:revision>
  <cp:lastPrinted>2012-08-23T09:02:00Z</cp:lastPrinted>
  <dcterms:created xsi:type="dcterms:W3CDTF">2016-03-12T17:16:00Z</dcterms:created>
  <dcterms:modified xsi:type="dcterms:W3CDTF">2016-03-15T11:23:00Z</dcterms:modified>
</cp:coreProperties>
</file>